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33" w:rsidRDefault="001657EF" w:rsidP="001657EF">
      <w:pPr>
        <w:pStyle w:val="ListParagraph"/>
        <w:spacing w:line="276" w:lineRule="auto"/>
        <w:ind w:left="0"/>
        <w:rPr>
          <w:b/>
        </w:rPr>
      </w:pPr>
      <w:r>
        <w:rPr>
          <w:rFonts w:asciiTheme="minorHAnsi" w:hAnsiTheme="minorHAnsi"/>
          <w:noProof/>
        </w:rPr>
        <w:drawing>
          <wp:inline distT="0" distB="0" distL="0" distR="0">
            <wp:extent cx="5731510" cy="17195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A-logo-rgb.gif"/>
                    <pic:cNvPicPr/>
                  </pic:nvPicPr>
                  <pic:blipFill>
                    <a:blip r:embed="rId7">
                      <a:extLst>
                        <a:ext uri="{28A0092B-C50C-407E-A947-70E740481C1C}">
                          <a14:useLocalDpi xmlns:a14="http://schemas.microsoft.com/office/drawing/2010/main" val="0"/>
                        </a:ext>
                      </a:extLst>
                    </a:blip>
                    <a:stretch>
                      <a:fillRect/>
                    </a:stretch>
                  </pic:blipFill>
                  <pic:spPr>
                    <a:xfrm>
                      <a:off x="0" y="0"/>
                      <a:ext cx="5731510" cy="1719580"/>
                    </a:xfrm>
                    <a:prstGeom prst="rect">
                      <a:avLst/>
                    </a:prstGeom>
                  </pic:spPr>
                </pic:pic>
              </a:graphicData>
            </a:graphic>
          </wp:inline>
        </w:drawing>
      </w:r>
      <w:r w:rsidR="00170033" w:rsidRPr="007B1A79">
        <w:rPr>
          <w:rFonts w:asciiTheme="minorHAnsi" w:hAnsiTheme="minorHAnsi"/>
          <w:b/>
          <w:sz w:val="24"/>
          <w:szCs w:val="24"/>
        </w:rPr>
        <w:t xml:space="preserve">Criteria for CIfA </w:t>
      </w:r>
      <w:r w:rsidR="00DF08A9" w:rsidRPr="007B1A79">
        <w:rPr>
          <w:rFonts w:asciiTheme="minorHAnsi" w:hAnsiTheme="minorHAnsi"/>
          <w:b/>
          <w:sz w:val="24"/>
          <w:szCs w:val="24"/>
        </w:rPr>
        <w:t>approved training posts – Practitioner level</w:t>
      </w:r>
    </w:p>
    <w:p w:rsidR="00DF08A9" w:rsidRDefault="00DF08A9" w:rsidP="001657EF">
      <w:pPr>
        <w:pStyle w:val="ListParagraph"/>
        <w:spacing w:line="276" w:lineRule="auto"/>
        <w:ind w:left="0"/>
        <w:rPr>
          <w:b/>
        </w:rPr>
      </w:pPr>
    </w:p>
    <w:p w:rsidR="00DF08A9" w:rsidRDefault="00DF08A9" w:rsidP="00DF08A9">
      <w:pPr>
        <w:pStyle w:val="Default"/>
        <w:numPr>
          <w:ilvl w:val="0"/>
          <w:numId w:val="10"/>
        </w:numPr>
        <w:rPr>
          <w:b/>
          <w:bCs/>
          <w:sz w:val="22"/>
          <w:szCs w:val="22"/>
        </w:rPr>
      </w:pPr>
      <w:r>
        <w:rPr>
          <w:b/>
          <w:bCs/>
          <w:sz w:val="22"/>
          <w:szCs w:val="22"/>
        </w:rPr>
        <w:t xml:space="preserve">Training posts </w:t>
      </w:r>
    </w:p>
    <w:p w:rsidR="00DF08A9" w:rsidRDefault="00DF08A9" w:rsidP="00DF08A9">
      <w:pPr>
        <w:pStyle w:val="Default"/>
        <w:rPr>
          <w:sz w:val="22"/>
          <w:szCs w:val="22"/>
        </w:rPr>
      </w:pPr>
    </w:p>
    <w:p w:rsidR="00DF08A9" w:rsidRDefault="00DF08A9" w:rsidP="00DF08A9">
      <w:pPr>
        <w:pStyle w:val="Default"/>
        <w:rPr>
          <w:sz w:val="22"/>
          <w:szCs w:val="22"/>
        </w:rPr>
      </w:pPr>
      <w:r>
        <w:rPr>
          <w:sz w:val="22"/>
          <w:szCs w:val="22"/>
        </w:rPr>
        <w:t>CIfA recognises the value of structured on‐the‐job learning in all aspects of archaeology. Training positions are a valuable way for archaeologists to gain skills and experience in real work situations</w:t>
      </w:r>
      <w:r>
        <w:rPr>
          <w:sz w:val="14"/>
          <w:szCs w:val="14"/>
        </w:rPr>
        <w:t xml:space="preserve">. </w:t>
      </w:r>
      <w:r>
        <w:rPr>
          <w:sz w:val="22"/>
          <w:szCs w:val="22"/>
        </w:rPr>
        <w:t xml:space="preserve">However, this cannot be done at the expense of professional standards or risk to the limited archaeological resource. CIfA issues the following guidance to promote the importance of structured training while at the same time safeguarding high standards of ethical and responsible behaviour. </w:t>
      </w:r>
    </w:p>
    <w:p w:rsidR="00DF08A9" w:rsidRDefault="00DF08A9" w:rsidP="00DF08A9">
      <w:pPr>
        <w:pStyle w:val="Default"/>
        <w:rPr>
          <w:sz w:val="22"/>
          <w:szCs w:val="22"/>
        </w:rPr>
      </w:pPr>
    </w:p>
    <w:p w:rsidR="00DF08A9" w:rsidRDefault="00DF08A9" w:rsidP="00DF08A9">
      <w:pPr>
        <w:pStyle w:val="Default"/>
        <w:rPr>
          <w:sz w:val="22"/>
          <w:szCs w:val="22"/>
        </w:rPr>
      </w:pPr>
      <w:r>
        <w:rPr>
          <w:sz w:val="22"/>
          <w:szCs w:val="22"/>
        </w:rPr>
        <w:t xml:space="preserve">Through its Code of Conduct and published standards, CIfA insists that </w:t>
      </w:r>
      <w:r>
        <w:rPr>
          <w:i/>
          <w:iCs/>
          <w:sz w:val="22"/>
          <w:szCs w:val="22"/>
        </w:rPr>
        <w:t xml:space="preserve">inter alia </w:t>
      </w:r>
      <w:r>
        <w:rPr>
          <w:sz w:val="22"/>
          <w:szCs w:val="22"/>
        </w:rPr>
        <w:t xml:space="preserve">archaeologists shall only undertake work for which they are adequately qualified (Rule 1.4); shall apply with all applicable laws (Rule 1.6); shall have due regard for terms of employment and career development (Rule 6.6); and have a duty, not only to observe the Code, but to encourage others to do likewise (Rule 1.12). </w:t>
      </w:r>
    </w:p>
    <w:p w:rsidR="00DF08A9" w:rsidRDefault="00DF08A9" w:rsidP="00DF08A9">
      <w:pPr>
        <w:pStyle w:val="Default"/>
        <w:rPr>
          <w:sz w:val="22"/>
          <w:szCs w:val="22"/>
        </w:rPr>
      </w:pPr>
    </w:p>
    <w:p w:rsidR="00DF08A9" w:rsidRDefault="00DF08A9" w:rsidP="00DF08A9">
      <w:pPr>
        <w:pStyle w:val="Default"/>
        <w:rPr>
          <w:sz w:val="22"/>
          <w:szCs w:val="22"/>
        </w:rPr>
      </w:pPr>
      <w:r>
        <w:rPr>
          <w:sz w:val="22"/>
          <w:szCs w:val="22"/>
        </w:rPr>
        <w:t xml:space="preserve">The minimum level of competence to be expected of any practising archaeologist shall be equivalent to that required for Practitioner (PCIfA) grade membership of the Chartered Institute for Archaeologists. Any employee who has not reached PCIfA level competence should be working within a structured training programme designed to develop their skills and competence to PCIfA level. </w:t>
      </w:r>
    </w:p>
    <w:p w:rsidR="00DF08A9" w:rsidRDefault="00DF08A9" w:rsidP="00DF08A9">
      <w:pPr>
        <w:pStyle w:val="Default"/>
        <w:rPr>
          <w:sz w:val="22"/>
          <w:szCs w:val="22"/>
        </w:rPr>
      </w:pPr>
    </w:p>
    <w:p w:rsidR="00DF08A9" w:rsidRDefault="00DF08A9" w:rsidP="00DF08A9">
      <w:pPr>
        <w:pStyle w:val="Default"/>
        <w:rPr>
          <w:i/>
          <w:iCs/>
          <w:sz w:val="22"/>
          <w:szCs w:val="22"/>
        </w:rPr>
      </w:pPr>
      <w:r>
        <w:rPr>
          <w:i/>
          <w:iCs/>
          <w:sz w:val="22"/>
          <w:szCs w:val="22"/>
        </w:rPr>
        <w:t xml:space="preserve">Note: Registered Organisations are already expected to have in place a training plan for the organisation. The plan should explain how career entrants will be supported to develop the skills and competence required to gain Practitioner level membership of CIfA. </w:t>
      </w:r>
    </w:p>
    <w:p w:rsidR="00DF08A9" w:rsidRDefault="00DF08A9" w:rsidP="00DF08A9">
      <w:pPr>
        <w:pStyle w:val="Default"/>
        <w:rPr>
          <w:i/>
          <w:iCs/>
          <w:sz w:val="22"/>
          <w:szCs w:val="22"/>
        </w:rPr>
      </w:pPr>
    </w:p>
    <w:p w:rsidR="00DF08A9" w:rsidRPr="00BD611F" w:rsidRDefault="00DF08A9" w:rsidP="00DF08A9">
      <w:pPr>
        <w:pStyle w:val="Default"/>
        <w:numPr>
          <w:ilvl w:val="0"/>
          <w:numId w:val="10"/>
        </w:numPr>
        <w:rPr>
          <w:b/>
          <w:sz w:val="22"/>
          <w:szCs w:val="22"/>
        </w:rPr>
      </w:pPr>
      <w:r w:rsidRPr="00DF08A9">
        <w:rPr>
          <w:b/>
          <w:iCs/>
          <w:sz w:val="22"/>
          <w:szCs w:val="22"/>
        </w:rPr>
        <w:t>Practitioner level competence</w:t>
      </w:r>
    </w:p>
    <w:p w:rsidR="00BD611F" w:rsidRDefault="00BD611F" w:rsidP="00BD611F">
      <w:pPr>
        <w:pStyle w:val="Default"/>
        <w:ind w:left="720"/>
        <w:rPr>
          <w:b/>
          <w:iCs/>
          <w:sz w:val="22"/>
          <w:szCs w:val="22"/>
        </w:rPr>
      </w:pPr>
    </w:p>
    <w:p w:rsidR="00BD611F" w:rsidRDefault="00BD611F" w:rsidP="00BD611F">
      <w:pPr>
        <w:pStyle w:val="Default"/>
        <w:rPr>
          <w:iCs/>
          <w:sz w:val="22"/>
          <w:szCs w:val="22"/>
        </w:rPr>
      </w:pPr>
      <w:r w:rsidRPr="002A45B1">
        <w:rPr>
          <w:iCs/>
          <w:sz w:val="22"/>
          <w:szCs w:val="22"/>
        </w:rPr>
        <w:t xml:space="preserve">CIfA uses a competency matrix to describe the level of competence expected of its members at each of the accredited grades. The general matrix </w:t>
      </w:r>
      <w:r w:rsidR="009D65DF">
        <w:rPr>
          <w:iCs/>
          <w:sz w:val="22"/>
          <w:szCs w:val="22"/>
        </w:rPr>
        <w:t>which applies</w:t>
      </w:r>
      <w:r w:rsidR="002A45B1">
        <w:rPr>
          <w:iCs/>
          <w:sz w:val="22"/>
          <w:szCs w:val="22"/>
        </w:rPr>
        <w:t xml:space="preserve"> to all CIfA members has also been adapted by each of the CIfA special interest groups to illustrate how the matrix relates to specialist areas. For site based roles, this has been undertaken by Diggers’ Forum.</w:t>
      </w:r>
    </w:p>
    <w:p w:rsidR="002A45B1" w:rsidRDefault="002A45B1" w:rsidP="00BD611F">
      <w:pPr>
        <w:pStyle w:val="Default"/>
        <w:rPr>
          <w:iCs/>
          <w:sz w:val="22"/>
          <w:szCs w:val="22"/>
        </w:rPr>
      </w:pPr>
    </w:p>
    <w:p w:rsidR="002A45B1" w:rsidRPr="002A45B1" w:rsidRDefault="002A45B1" w:rsidP="00BD611F">
      <w:pPr>
        <w:pStyle w:val="Default"/>
        <w:rPr>
          <w:sz w:val="22"/>
          <w:szCs w:val="22"/>
        </w:rPr>
      </w:pPr>
      <w:r>
        <w:rPr>
          <w:iCs/>
          <w:sz w:val="22"/>
          <w:szCs w:val="22"/>
        </w:rPr>
        <w:t>As well as specific technical competencies, CIfA members are expected to be able to demonstrate their understanding and awareness of professional ethics at the appropriate level.</w:t>
      </w:r>
    </w:p>
    <w:p w:rsidR="00DF08A9" w:rsidRDefault="00DF08A9" w:rsidP="00DF08A9">
      <w:pPr>
        <w:pStyle w:val="Default"/>
        <w:ind w:left="720"/>
        <w:rPr>
          <w:b/>
          <w:iCs/>
          <w:sz w:val="22"/>
          <w:szCs w:val="22"/>
        </w:rPr>
      </w:pPr>
    </w:p>
    <w:p w:rsidR="008837EB" w:rsidRDefault="008837EB">
      <w:pPr>
        <w:rPr>
          <w:rFonts w:ascii="Calibri" w:hAnsi="Calibri" w:cs="Calibri"/>
          <w:b/>
          <w:iCs/>
          <w:color w:val="000000"/>
        </w:rPr>
      </w:pPr>
      <w:r>
        <w:rPr>
          <w:b/>
          <w:iCs/>
        </w:rPr>
        <w:br w:type="page"/>
      </w:r>
    </w:p>
    <w:p w:rsidR="00DF08A9" w:rsidRDefault="00DF08A9" w:rsidP="00DF08A9">
      <w:pPr>
        <w:pStyle w:val="Default"/>
        <w:ind w:left="720"/>
        <w:rPr>
          <w:b/>
          <w:iCs/>
          <w:sz w:val="22"/>
          <w:szCs w:val="22"/>
        </w:rPr>
      </w:pPr>
      <w:r>
        <w:rPr>
          <w:b/>
          <w:iCs/>
          <w:sz w:val="22"/>
          <w:szCs w:val="22"/>
        </w:rPr>
        <w:lastRenderedPageBreak/>
        <w:t>CIfA competency matrix</w:t>
      </w:r>
    </w:p>
    <w:p w:rsidR="00DF08A9" w:rsidRDefault="00DF08A9" w:rsidP="00DF08A9">
      <w:pPr>
        <w:pStyle w:val="Default"/>
        <w:ind w:left="720"/>
        <w:rPr>
          <w:b/>
          <w:iCs/>
          <w:sz w:val="22"/>
          <w:szCs w:val="22"/>
        </w:rPr>
      </w:pPr>
    </w:p>
    <w:tbl>
      <w:tblPr>
        <w:tblStyle w:val="TableGrid"/>
        <w:tblW w:w="0" w:type="auto"/>
        <w:tblInd w:w="279" w:type="dxa"/>
        <w:tblLook w:val="04A0" w:firstRow="1" w:lastRow="0" w:firstColumn="1" w:lastColumn="0" w:noHBand="0" w:noVBand="1"/>
      </w:tblPr>
      <w:tblGrid>
        <w:gridCol w:w="1298"/>
        <w:gridCol w:w="1679"/>
        <w:gridCol w:w="2126"/>
        <w:gridCol w:w="1849"/>
        <w:gridCol w:w="1508"/>
      </w:tblGrid>
      <w:tr w:rsidR="008837EB" w:rsidTr="008837EB">
        <w:tc>
          <w:tcPr>
            <w:tcW w:w="1298" w:type="dxa"/>
          </w:tcPr>
          <w:p w:rsidR="008837EB" w:rsidRDefault="008837EB" w:rsidP="00DF08A9">
            <w:pPr>
              <w:pStyle w:val="Default"/>
              <w:rPr>
                <w:b/>
                <w:iCs/>
                <w:sz w:val="22"/>
                <w:szCs w:val="22"/>
              </w:rPr>
            </w:pPr>
          </w:p>
        </w:tc>
        <w:tc>
          <w:tcPr>
            <w:tcW w:w="1679" w:type="dxa"/>
          </w:tcPr>
          <w:p w:rsidR="008837EB" w:rsidRDefault="008837EB" w:rsidP="00DF08A9">
            <w:pPr>
              <w:pStyle w:val="Default"/>
              <w:rPr>
                <w:b/>
                <w:iCs/>
                <w:sz w:val="22"/>
                <w:szCs w:val="22"/>
              </w:rPr>
            </w:pPr>
            <w:r>
              <w:rPr>
                <w:b/>
                <w:iCs/>
                <w:sz w:val="22"/>
                <w:szCs w:val="22"/>
              </w:rPr>
              <w:t>Knowledge</w:t>
            </w:r>
          </w:p>
        </w:tc>
        <w:tc>
          <w:tcPr>
            <w:tcW w:w="2126" w:type="dxa"/>
          </w:tcPr>
          <w:p w:rsidR="008837EB" w:rsidRDefault="008837EB" w:rsidP="00DF08A9">
            <w:pPr>
              <w:pStyle w:val="Default"/>
              <w:rPr>
                <w:b/>
                <w:iCs/>
                <w:sz w:val="22"/>
                <w:szCs w:val="22"/>
              </w:rPr>
            </w:pPr>
            <w:r>
              <w:rPr>
                <w:b/>
                <w:iCs/>
                <w:sz w:val="22"/>
                <w:szCs w:val="22"/>
              </w:rPr>
              <w:t>Autonomy</w:t>
            </w:r>
          </w:p>
        </w:tc>
        <w:tc>
          <w:tcPr>
            <w:tcW w:w="1849" w:type="dxa"/>
          </w:tcPr>
          <w:p w:rsidR="008837EB" w:rsidRDefault="008837EB" w:rsidP="00DF08A9">
            <w:pPr>
              <w:pStyle w:val="Default"/>
              <w:rPr>
                <w:b/>
                <w:iCs/>
                <w:sz w:val="22"/>
                <w:szCs w:val="22"/>
              </w:rPr>
            </w:pPr>
            <w:r>
              <w:rPr>
                <w:b/>
                <w:iCs/>
                <w:sz w:val="22"/>
                <w:szCs w:val="22"/>
              </w:rPr>
              <w:t>Coping with complexity</w:t>
            </w:r>
          </w:p>
        </w:tc>
        <w:tc>
          <w:tcPr>
            <w:tcW w:w="1508" w:type="dxa"/>
          </w:tcPr>
          <w:p w:rsidR="008837EB" w:rsidRDefault="008837EB" w:rsidP="008837EB">
            <w:pPr>
              <w:pStyle w:val="Default"/>
              <w:ind w:right="-455"/>
              <w:rPr>
                <w:b/>
                <w:iCs/>
                <w:sz w:val="22"/>
                <w:szCs w:val="22"/>
              </w:rPr>
            </w:pPr>
            <w:r>
              <w:rPr>
                <w:b/>
                <w:iCs/>
                <w:sz w:val="22"/>
                <w:szCs w:val="22"/>
              </w:rPr>
              <w:t>Perception of context</w:t>
            </w:r>
          </w:p>
        </w:tc>
      </w:tr>
      <w:tr w:rsidR="008837EB" w:rsidTr="00BD611F">
        <w:tc>
          <w:tcPr>
            <w:tcW w:w="1298" w:type="dxa"/>
          </w:tcPr>
          <w:p w:rsidR="008837EB" w:rsidRDefault="008837EB" w:rsidP="00DF08A9">
            <w:pPr>
              <w:pStyle w:val="Default"/>
              <w:rPr>
                <w:b/>
                <w:iCs/>
                <w:sz w:val="22"/>
                <w:szCs w:val="22"/>
              </w:rPr>
            </w:pPr>
            <w:r>
              <w:rPr>
                <w:b/>
                <w:iCs/>
                <w:sz w:val="22"/>
                <w:szCs w:val="22"/>
              </w:rPr>
              <w:t>Practitioner</w:t>
            </w:r>
          </w:p>
        </w:tc>
        <w:tc>
          <w:tcPr>
            <w:tcW w:w="1679"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63"/>
            </w:tblGrid>
            <w:tr w:rsidR="008837EB" w:rsidRPr="008837EB">
              <w:trPr>
                <w:trHeight w:val="646"/>
              </w:trPr>
              <w:tc>
                <w:tcPr>
                  <w:tcW w:w="0" w:type="auto"/>
                </w:tcPr>
                <w:p w:rsidR="008837EB" w:rsidRPr="008837EB" w:rsidRDefault="008837EB" w:rsidP="008837EB">
                  <w:pPr>
                    <w:pStyle w:val="Default"/>
                    <w:rPr>
                      <w:sz w:val="20"/>
                      <w:szCs w:val="20"/>
                    </w:rPr>
                  </w:pPr>
                  <w:r w:rsidRPr="008837EB">
                    <w:rPr>
                      <w:sz w:val="20"/>
                      <w:szCs w:val="20"/>
                    </w:rPr>
                    <w:t xml:space="preserve">Good working knowledge of key aspects relevant to area of historic environment practice, and competence in its application </w:t>
                  </w:r>
                </w:p>
              </w:tc>
            </w:tr>
          </w:tbl>
          <w:p w:rsidR="008837EB" w:rsidRPr="008837EB" w:rsidRDefault="008837EB" w:rsidP="008837EB">
            <w:pPr>
              <w:pStyle w:val="Default"/>
              <w:rPr>
                <w:b/>
                <w:iCs/>
                <w:sz w:val="20"/>
                <w:szCs w:val="20"/>
              </w:rPr>
            </w:pPr>
          </w:p>
        </w:tc>
        <w:tc>
          <w:tcPr>
            <w:tcW w:w="2126"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910"/>
            </w:tblGrid>
            <w:tr w:rsidR="008837EB" w:rsidRPr="008837EB">
              <w:trPr>
                <w:trHeight w:val="646"/>
              </w:trPr>
              <w:tc>
                <w:tcPr>
                  <w:tcW w:w="0" w:type="auto"/>
                </w:tcPr>
                <w:p w:rsidR="008837EB" w:rsidRPr="008837EB" w:rsidRDefault="008837EB" w:rsidP="008837EB">
                  <w:pPr>
                    <w:pStyle w:val="Default"/>
                    <w:rPr>
                      <w:sz w:val="20"/>
                      <w:szCs w:val="20"/>
                    </w:rPr>
                  </w:pPr>
                  <w:r w:rsidRPr="008837EB">
                    <w:rPr>
                      <w:sz w:val="20"/>
                      <w:szCs w:val="20"/>
                    </w:rPr>
                    <w:t xml:space="preserve"> Some responsibility for achieving tasks using own judgement and autonomy, whilst working under general supervision. Collaboration with others is expected </w:t>
                  </w:r>
                </w:p>
              </w:tc>
            </w:tr>
          </w:tbl>
          <w:p w:rsidR="008837EB" w:rsidRPr="008837EB" w:rsidRDefault="008837EB" w:rsidP="008837EB">
            <w:pPr>
              <w:pStyle w:val="Default"/>
              <w:rPr>
                <w:b/>
                <w:iCs/>
                <w:sz w:val="20"/>
                <w:szCs w:val="20"/>
              </w:rPr>
            </w:pPr>
          </w:p>
        </w:tc>
        <w:tc>
          <w:tcPr>
            <w:tcW w:w="1849"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633"/>
            </w:tblGrid>
            <w:tr w:rsidR="008837EB" w:rsidRPr="008837EB">
              <w:trPr>
                <w:trHeight w:val="512"/>
              </w:trPr>
              <w:tc>
                <w:tcPr>
                  <w:tcW w:w="0" w:type="auto"/>
                </w:tcPr>
                <w:p w:rsidR="008837EB" w:rsidRPr="008837EB" w:rsidRDefault="008837EB" w:rsidP="008837EB">
                  <w:pPr>
                    <w:pStyle w:val="Default"/>
                    <w:rPr>
                      <w:sz w:val="20"/>
                      <w:szCs w:val="20"/>
                    </w:rPr>
                  </w:pPr>
                  <w:r w:rsidRPr="008837EB">
                    <w:rPr>
                      <w:sz w:val="20"/>
                      <w:szCs w:val="20"/>
                    </w:rPr>
                    <w:t xml:space="preserve"> Appreciates complex situations within the role held and able to achieve partial resolution alone. Some activities are complex and non-routine* </w:t>
                  </w:r>
                </w:p>
              </w:tc>
            </w:tr>
          </w:tbl>
          <w:p w:rsidR="008837EB" w:rsidRPr="008837EB" w:rsidRDefault="008837EB" w:rsidP="008837EB">
            <w:pPr>
              <w:pStyle w:val="Default"/>
              <w:rPr>
                <w:b/>
                <w:iCs/>
                <w:sz w:val="20"/>
                <w:szCs w:val="20"/>
              </w:rPr>
            </w:pPr>
          </w:p>
        </w:tc>
        <w:tc>
          <w:tcPr>
            <w:tcW w:w="1508"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292"/>
            </w:tblGrid>
            <w:tr w:rsidR="008837EB" w:rsidRPr="008837EB">
              <w:trPr>
                <w:trHeight w:val="377"/>
              </w:trPr>
              <w:tc>
                <w:tcPr>
                  <w:tcW w:w="0" w:type="auto"/>
                </w:tcPr>
                <w:p w:rsidR="008837EB" w:rsidRPr="008837EB" w:rsidRDefault="008837EB" w:rsidP="008837EB">
                  <w:pPr>
                    <w:pStyle w:val="Default"/>
                    <w:rPr>
                      <w:sz w:val="20"/>
                      <w:szCs w:val="20"/>
                    </w:rPr>
                  </w:pPr>
                  <w:r w:rsidRPr="008837EB">
                    <w:rPr>
                      <w:sz w:val="20"/>
                      <w:szCs w:val="20"/>
                    </w:rPr>
                    <w:t xml:space="preserve"> Sees actions as a series of steps and recognises the importance of each role in the team </w:t>
                  </w:r>
                </w:p>
              </w:tc>
            </w:tr>
          </w:tbl>
          <w:p w:rsidR="008837EB" w:rsidRPr="008837EB" w:rsidRDefault="008837EB" w:rsidP="008837EB">
            <w:pPr>
              <w:pStyle w:val="Default"/>
              <w:rPr>
                <w:b/>
                <w:iCs/>
                <w:sz w:val="20"/>
                <w:szCs w:val="20"/>
              </w:rPr>
            </w:pPr>
          </w:p>
        </w:tc>
      </w:tr>
      <w:tr w:rsidR="00BD611F" w:rsidTr="005577F5">
        <w:tc>
          <w:tcPr>
            <w:tcW w:w="8460" w:type="dxa"/>
            <w:gridSpan w:val="5"/>
            <w:tcBorders>
              <w:right w:val="single" w:sz="4" w:space="0" w:color="auto"/>
            </w:tcBorders>
          </w:tcPr>
          <w:p w:rsidR="00BD611F" w:rsidRPr="00BD611F" w:rsidRDefault="00BD611F" w:rsidP="00BD611F">
            <w:pPr>
              <w:pStyle w:val="Default"/>
              <w:spacing w:line="360" w:lineRule="auto"/>
              <w:rPr>
                <w:b/>
                <w:sz w:val="20"/>
                <w:szCs w:val="20"/>
              </w:rPr>
            </w:pPr>
            <w:r w:rsidRPr="00BD611F">
              <w:rPr>
                <w:b/>
                <w:sz w:val="22"/>
                <w:szCs w:val="22"/>
              </w:rPr>
              <w:t>Diggers’ Forum specialist matrix for Practitioner level roles on site</w:t>
            </w:r>
          </w:p>
        </w:tc>
      </w:tr>
      <w:tr w:rsidR="00BD611F" w:rsidTr="00CF5E45">
        <w:tc>
          <w:tcPr>
            <w:tcW w:w="1298" w:type="dxa"/>
          </w:tcPr>
          <w:p w:rsidR="00BD611F" w:rsidRDefault="00BD611F" w:rsidP="00DF08A9">
            <w:pPr>
              <w:pStyle w:val="Default"/>
              <w:rPr>
                <w:b/>
                <w:iCs/>
                <w:sz w:val="22"/>
                <w:szCs w:val="22"/>
              </w:rPr>
            </w:pPr>
            <w:r>
              <w:rPr>
                <w:b/>
                <w:iCs/>
                <w:sz w:val="22"/>
                <w:szCs w:val="22"/>
              </w:rPr>
              <w:t>Knowledge</w:t>
            </w:r>
          </w:p>
        </w:tc>
        <w:tc>
          <w:tcPr>
            <w:tcW w:w="7162" w:type="dxa"/>
            <w:gridSpan w:val="4"/>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946"/>
            </w:tblGrid>
            <w:tr w:rsidR="00BD611F" w:rsidRPr="00BD611F">
              <w:trPr>
                <w:trHeight w:val="1889"/>
              </w:trPr>
              <w:tc>
                <w:tcPr>
                  <w:tcW w:w="0" w:type="auto"/>
                </w:tcPr>
                <w:p w:rsidR="00BD611F" w:rsidRPr="00BD611F" w:rsidRDefault="00BD611F" w:rsidP="00BD611F">
                  <w:pPr>
                    <w:pStyle w:val="Default"/>
                    <w:numPr>
                      <w:ilvl w:val="0"/>
                      <w:numId w:val="11"/>
                    </w:numPr>
                    <w:ind w:left="327" w:hanging="327"/>
                    <w:rPr>
                      <w:sz w:val="20"/>
                      <w:szCs w:val="20"/>
                    </w:rPr>
                  </w:pPr>
                  <w:r w:rsidRPr="00BD611F">
                    <w:rPr>
                      <w:sz w:val="20"/>
                      <w:szCs w:val="20"/>
                    </w:rPr>
                    <w:t xml:space="preserve">Basic knowledge of archaeological practice; consistently defines and excavates a variety of archaeological features and deposits. </w:t>
                  </w:r>
                </w:p>
                <w:p w:rsidR="00BD611F" w:rsidRPr="00BD611F" w:rsidRDefault="00BD611F" w:rsidP="00BD611F">
                  <w:pPr>
                    <w:pStyle w:val="Default"/>
                    <w:numPr>
                      <w:ilvl w:val="0"/>
                      <w:numId w:val="11"/>
                    </w:numPr>
                    <w:ind w:left="327" w:hanging="327"/>
                    <w:rPr>
                      <w:sz w:val="20"/>
                      <w:szCs w:val="20"/>
                    </w:rPr>
                  </w:pPr>
                  <w:r w:rsidRPr="00BD611F">
                    <w:rPr>
                      <w:sz w:val="20"/>
                      <w:szCs w:val="20"/>
                    </w:rPr>
                    <w:t xml:space="preserve">Consistently produces written and drawn records (context sheets, plans, sections and elevations). </w:t>
                  </w:r>
                </w:p>
                <w:p w:rsidR="00BD611F" w:rsidRPr="00BD611F" w:rsidRDefault="00BD611F" w:rsidP="00BD611F">
                  <w:pPr>
                    <w:pStyle w:val="Default"/>
                    <w:numPr>
                      <w:ilvl w:val="0"/>
                      <w:numId w:val="11"/>
                    </w:numPr>
                    <w:ind w:left="327" w:hanging="327"/>
                    <w:rPr>
                      <w:sz w:val="20"/>
                      <w:szCs w:val="20"/>
                    </w:rPr>
                  </w:pPr>
                  <w:r w:rsidRPr="00BD611F">
                    <w:rPr>
                      <w:sz w:val="20"/>
                      <w:szCs w:val="20"/>
                    </w:rPr>
                    <w:t>Understands the requirements for</w:t>
                  </w:r>
                  <w:r>
                    <w:rPr>
                      <w:sz w:val="20"/>
                      <w:szCs w:val="20"/>
                    </w:rPr>
                    <w:t>,</w:t>
                  </w:r>
                  <w:r w:rsidRPr="00BD611F">
                    <w:rPr>
                      <w:sz w:val="20"/>
                      <w:szCs w:val="20"/>
                    </w:rPr>
                    <w:t xml:space="preserve"> and has the ability to</w:t>
                  </w:r>
                  <w:r>
                    <w:rPr>
                      <w:sz w:val="20"/>
                      <w:szCs w:val="20"/>
                    </w:rPr>
                    <w:t>,</w:t>
                  </w:r>
                  <w:r w:rsidRPr="00BD611F">
                    <w:rPr>
                      <w:sz w:val="20"/>
                      <w:szCs w:val="20"/>
                    </w:rPr>
                    <w:t xml:space="preserve"> take environmental samples. </w:t>
                  </w:r>
                </w:p>
                <w:p w:rsidR="00BD611F" w:rsidRPr="00BD611F" w:rsidRDefault="00BD611F" w:rsidP="00BD611F">
                  <w:pPr>
                    <w:pStyle w:val="Default"/>
                    <w:numPr>
                      <w:ilvl w:val="0"/>
                      <w:numId w:val="11"/>
                    </w:numPr>
                    <w:ind w:left="327" w:hanging="327"/>
                    <w:rPr>
                      <w:sz w:val="20"/>
                      <w:szCs w:val="20"/>
                    </w:rPr>
                  </w:pPr>
                  <w:r w:rsidRPr="00BD611F">
                    <w:rPr>
                      <w:sz w:val="20"/>
                      <w:szCs w:val="20"/>
                    </w:rPr>
                    <w:t xml:space="preserve">Aware of the value and able to undertake accurate photographs of archaeological features and deposits. </w:t>
                  </w:r>
                </w:p>
                <w:p w:rsidR="00BD611F" w:rsidRPr="00BD611F" w:rsidRDefault="00BD611F" w:rsidP="008837EB">
                  <w:pPr>
                    <w:pStyle w:val="Default"/>
                    <w:rPr>
                      <w:sz w:val="20"/>
                      <w:szCs w:val="20"/>
                    </w:rPr>
                  </w:pPr>
                </w:p>
              </w:tc>
            </w:tr>
          </w:tbl>
          <w:p w:rsidR="00BD611F" w:rsidRPr="008837EB" w:rsidRDefault="00BD611F" w:rsidP="008837EB">
            <w:pPr>
              <w:pStyle w:val="Default"/>
              <w:rPr>
                <w:sz w:val="20"/>
                <w:szCs w:val="20"/>
              </w:rPr>
            </w:pPr>
          </w:p>
        </w:tc>
      </w:tr>
      <w:tr w:rsidR="00BD611F" w:rsidTr="00CF5E45">
        <w:tc>
          <w:tcPr>
            <w:tcW w:w="1298" w:type="dxa"/>
          </w:tcPr>
          <w:p w:rsidR="00BD611F" w:rsidRDefault="00BD611F" w:rsidP="00DF08A9">
            <w:pPr>
              <w:pStyle w:val="Default"/>
              <w:rPr>
                <w:b/>
                <w:iCs/>
                <w:sz w:val="22"/>
                <w:szCs w:val="22"/>
              </w:rPr>
            </w:pPr>
            <w:r>
              <w:rPr>
                <w:b/>
                <w:iCs/>
                <w:sz w:val="22"/>
                <w:szCs w:val="22"/>
              </w:rPr>
              <w:t>Autonomy</w:t>
            </w:r>
          </w:p>
        </w:tc>
        <w:tc>
          <w:tcPr>
            <w:tcW w:w="7162" w:type="dxa"/>
            <w:gridSpan w:val="4"/>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946"/>
            </w:tblGrid>
            <w:tr w:rsidR="00BD611F">
              <w:trPr>
                <w:trHeight w:val="893"/>
              </w:trPr>
              <w:tc>
                <w:tcPr>
                  <w:tcW w:w="0" w:type="auto"/>
                </w:tcPr>
                <w:p w:rsidR="00BD611F" w:rsidRPr="00BD611F" w:rsidRDefault="00BD611F" w:rsidP="00BD611F">
                  <w:pPr>
                    <w:pStyle w:val="Default"/>
                    <w:numPr>
                      <w:ilvl w:val="0"/>
                      <w:numId w:val="12"/>
                    </w:numPr>
                    <w:ind w:left="327" w:hanging="327"/>
                    <w:rPr>
                      <w:sz w:val="20"/>
                      <w:szCs w:val="20"/>
                    </w:rPr>
                  </w:pPr>
                  <w:r w:rsidRPr="00BD611F">
                    <w:rPr>
                      <w:sz w:val="20"/>
                      <w:szCs w:val="20"/>
                    </w:rPr>
                    <w:t xml:space="preserve">Liaises with Senior Archaeologist, Project Manager or other senior on-site staff as required. </w:t>
                  </w:r>
                </w:p>
                <w:p w:rsidR="00BD611F" w:rsidRPr="00BD611F" w:rsidRDefault="00BD611F" w:rsidP="00BD611F">
                  <w:pPr>
                    <w:pStyle w:val="Default"/>
                    <w:numPr>
                      <w:ilvl w:val="0"/>
                      <w:numId w:val="12"/>
                    </w:numPr>
                    <w:ind w:left="327" w:hanging="327"/>
                    <w:rPr>
                      <w:sz w:val="20"/>
                      <w:szCs w:val="20"/>
                    </w:rPr>
                  </w:pPr>
                  <w:r w:rsidRPr="00BD611F">
                    <w:rPr>
                      <w:sz w:val="20"/>
                      <w:szCs w:val="20"/>
                    </w:rPr>
                    <w:t xml:space="preserve">Works as part of a team. </w:t>
                  </w:r>
                </w:p>
                <w:p w:rsidR="00BD611F" w:rsidRPr="00BD611F" w:rsidRDefault="00BD611F" w:rsidP="00BD611F">
                  <w:pPr>
                    <w:pStyle w:val="Default"/>
                    <w:numPr>
                      <w:ilvl w:val="0"/>
                      <w:numId w:val="12"/>
                    </w:numPr>
                    <w:ind w:left="327" w:hanging="327"/>
                    <w:rPr>
                      <w:sz w:val="22"/>
                      <w:szCs w:val="22"/>
                    </w:rPr>
                  </w:pPr>
                  <w:r w:rsidRPr="00BD611F">
                    <w:rPr>
                      <w:sz w:val="20"/>
                      <w:szCs w:val="20"/>
                    </w:rPr>
                    <w:t xml:space="preserve">Follows health and safety procedures. </w:t>
                  </w:r>
                </w:p>
                <w:p w:rsidR="00BD611F" w:rsidRDefault="00BD611F" w:rsidP="00BD611F">
                  <w:pPr>
                    <w:pStyle w:val="Default"/>
                    <w:ind w:left="327"/>
                    <w:rPr>
                      <w:sz w:val="22"/>
                      <w:szCs w:val="22"/>
                    </w:rPr>
                  </w:pPr>
                </w:p>
              </w:tc>
            </w:tr>
          </w:tbl>
          <w:p w:rsidR="00BD611F" w:rsidRPr="00BD611F" w:rsidRDefault="00BD611F" w:rsidP="00BD611F">
            <w:pPr>
              <w:pStyle w:val="Default"/>
              <w:rPr>
                <w:sz w:val="20"/>
                <w:szCs w:val="20"/>
              </w:rPr>
            </w:pPr>
          </w:p>
        </w:tc>
      </w:tr>
      <w:tr w:rsidR="00BD611F" w:rsidTr="00CF5E45">
        <w:tc>
          <w:tcPr>
            <w:tcW w:w="1298" w:type="dxa"/>
          </w:tcPr>
          <w:p w:rsidR="00BD611F" w:rsidRDefault="00BD611F" w:rsidP="00DF08A9">
            <w:pPr>
              <w:pStyle w:val="Default"/>
              <w:rPr>
                <w:b/>
                <w:iCs/>
                <w:sz w:val="22"/>
                <w:szCs w:val="22"/>
              </w:rPr>
            </w:pPr>
            <w:r>
              <w:rPr>
                <w:b/>
                <w:iCs/>
                <w:sz w:val="22"/>
                <w:szCs w:val="22"/>
              </w:rPr>
              <w:t>Coping with complexity</w:t>
            </w:r>
          </w:p>
        </w:tc>
        <w:tc>
          <w:tcPr>
            <w:tcW w:w="7162" w:type="dxa"/>
            <w:gridSpan w:val="4"/>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946"/>
            </w:tblGrid>
            <w:tr w:rsidR="00BD611F">
              <w:trPr>
                <w:trHeight w:val="703"/>
              </w:trPr>
              <w:tc>
                <w:tcPr>
                  <w:tcW w:w="0" w:type="auto"/>
                </w:tcPr>
                <w:p w:rsidR="00BD611F" w:rsidRPr="00BD611F" w:rsidRDefault="00BD611F" w:rsidP="00BD611F">
                  <w:pPr>
                    <w:pStyle w:val="Default"/>
                    <w:numPr>
                      <w:ilvl w:val="0"/>
                      <w:numId w:val="13"/>
                    </w:numPr>
                    <w:ind w:left="327" w:hanging="327"/>
                    <w:rPr>
                      <w:sz w:val="20"/>
                      <w:szCs w:val="20"/>
                    </w:rPr>
                  </w:pPr>
                  <w:r w:rsidRPr="00BD611F">
                    <w:rPr>
                      <w:sz w:val="20"/>
                      <w:szCs w:val="20"/>
                    </w:rPr>
                    <w:t xml:space="preserve">Consistently demonstrates ability to undertake basic archaeological on-site tasks. </w:t>
                  </w:r>
                </w:p>
                <w:p w:rsidR="00BD611F" w:rsidRPr="00BD611F" w:rsidRDefault="00BD611F" w:rsidP="00BD611F">
                  <w:pPr>
                    <w:pStyle w:val="Default"/>
                    <w:numPr>
                      <w:ilvl w:val="0"/>
                      <w:numId w:val="13"/>
                    </w:numPr>
                    <w:ind w:left="327" w:hanging="327"/>
                    <w:rPr>
                      <w:sz w:val="20"/>
                      <w:szCs w:val="20"/>
                    </w:rPr>
                  </w:pPr>
                  <w:r w:rsidRPr="00BD611F">
                    <w:rPr>
                      <w:sz w:val="20"/>
                      <w:szCs w:val="20"/>
                    </w:rPr>
                    <w:t xml:space="preserve">Differentiates between a variety of artefact types. </w:t>
                  </w:r>
                </w:p>
                <w:p w:rsidR="00BD611F" w:rsidRDefault="00BD611F" w:rsidP="00BD611F">
                  <w:pPr>
                    <w:pStyle w:val="Default"/>
                    <w:rPr>
                      <w:sz w:val="22"/>
                      <w:szCs w:val="22"/>
                    </w:rPr>
                  </w:pPr>
                </w:p>
              </w:tc>
            </w:tr>
          </w:tbl>
          <w:p w:rsidR="00BD611F" w:rsidRPr="00BD611F" w:rsidRDefault="00BD611F" w:rsidP="00BD611F">
            <w:pPr>
              <w:pStyle w:val="Default"/>
              <w:rPr>
                <w:sz w:val="20"/>
                <w:szCs w:val="20"/>
              </w:rPr>
            </w:pPr>
          </w:p>
        </w:tc>
      </w:tr>
      <w:tr w:rsidR="00BD611F" w:rsidTr="00CF5E45">
        <w:tc>
          <w:tcPr>
            <w:tcW w:w="1298" w:type="dxa"/>
          </w:tcPr>
          <w:p w:rsidR="00BD611F" w:rsidRDefault="00BD611F" w:rsidP="00DF08A9">
            <w:pPr>
              <w:pStyle w:val="Default"/>
              <w:rPr>
                <w:b/>
                <w:iCs/>
                <w:sz w:val="22"/>
                <w:szCs w:val="22"/>
              </w:rPr>
            </w:pPr>
            <w:r>
              <w:rPr>
                <w:b/>
                <w:iCs/>
                <w:sz w:val="22"/>
                <w:szCs w:val="22"/>
              </w:rPr>
              <w:t>Perception of context</w:t>
            </w:r>
          </w:p>
        </w:tc>
        <w:tc>
          <w:tcPr>
            <w:tcW w:w="7162" w:type="dxa"/>
            <w:gridSpan w:val="4"/>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946"/>
            </w:tblGrid>
            <w:tr w:rsidR="00BD611F">
              <w:trPr>
                <w:trHeight w:val="837"/>
              </w:trPr>
              <w:tc>
                <w:tcPr>
                  <w:tcW w:w="0" w:type="auto"/>
                </w:tcPr>
                <w:p w:rsidR="00BD611F" w:rsidRPr="00BD611F" w:rsidRDefault="00BD611F" w:rsidP="00BD611F">
                  <w:pPr>
                    <w:pStyle w:val="Default"/>
                    <w:numPr>
                      <w:ilvl w:val="0"/>
                      <w:numId w:val="14"/>
                    </w:numPr>
                    <w:ind w:left="327" w:hanging="327"/>
                    <w:rPr>
                      <w:sz w:val="20"/>
                      <w:szCs w:val="20"/>
                    </w:rPr>
                  </w:pPr>
                  <w:r w:rsidRPr="00BD611F">
                    <w:rPr>
                      <w:sz w:val="20"/>
                      <w:szCs w:val="20"/>
                    </w:rPr>
                    <w:t xml:space="preserve">Basic understanding of role within team/site and takes responsibility for own work. </w:t>
                  </w:r>
                </w:p>
                <w:p w:rsidR="00BD611F" w:rsidRPr="00BD611F" w:rsidRDefault="00BD611F" w:rsidP="00BD611F">
                  <w:pPr>
                    <w:pStyle w:val="Default"/>
                    <w:numPr>
                      <w:ilvl w:val="0"/>
                      <w:numId w:val="14"/>
                    </w:numPr>
                    <w:ind w:left="327" w:hanging="327"/>
                    <w:rPr>
                      <w:sz w:val="20"/>
                      <w:szCs w:val="20"/>
                    </w:rPr>
                  </w:pPr>
                  <w:r w:rsidRPr="00BD611F">
                    <w:rPr>
                      <w:sz w:val="20"/>
                      <w:szCs w:val="20"/>
                    </w:rPr>
                    <w:t xml:space="preserve">Provides a basic interpretation of deposit formation within excavated features. </w:t>
                  </w:r>
                </w:p>
                <w:p w:rsidR="00BD611F" w:rsidRDefault="00BD611F" w:rsidP="00BD611F">
                  <w:pPr>
                    <w:pStyle w:val="Default"/>
                    <w:rPr>
                      <w:sz w:val="22"/>
                      <w:szCs w:val="22"/>
                    </w:rPr>
                  </w:pPr>
                </w:p>
              </w:tc>
            </w:tr>
          </w:tbl>
          <w:p w:rsidR="00BD611F" w:rsidRPr="00BD611F" w:rsidRDefault="00BD611F" w:rsidP="00BD611F">
            <w:pPr>
              <w:pStyle w:val="Default"/>
              <w:rPr>
                <w:sz w:val="20"/>
                <w:szCs w:val="20"/>
              </w:rPr>
            </w:pPr>
          </w:p>
        </w:tc>
      </w:tr>
    </w:tbl>
    <w:p w:rsidR="00DF08A9" w:rsidRPr="00DF08A9" w:rsidRDefault="00DF08A9" w:rsidP="00DF08A9">
      <w:pPr>
        <w:pStyle w:val="Default"/>
        <w:ind w:left="720"/>
        <w:rPr>
          <w:b/>
          <w:iCs/>
          <w:sz w:val="22"/>
          <w:szCs w:val="22"/>
        </w:rPr>
      </w:pPr>
    </w:p>
    <w:p w:rsidR="00DF08A9" w:rsidRDefault="00DF08A9" w:rsidP="00DF08A9">
      <w:pPr>
        <w:pStyle w:val="Default"/>
        <w:ind w:left="720"/>
        <w:rPr>
          <w:b/>
          <w:iCs/>
          <w:sz w:val="22"/>
          <w:szCs w:val="22"/>
        </w:rPr>
      </w:pPr>
    </w:p>
    <w:p w:rsidR="008F23E4" w:rsidRPr="008F23E4" w:rsidRDefault="008F23E4" w:rsidP="008F23E4">
      <w:pPr>
        <w:pStyle w:val="ListParagraph"/>
        <w:numPr>
          <w:ilvl w:val="0"/>
          <w:numId w:val="10"/>
        </w:numPr>
        <w:rPr>
          <w:rFonts w:asciiTheme="minorHAnsi" w:hAnsiTheme="minorHAnsi" w:cs="Calibri"/>
          <w:b/>
          <w:color w:val="000000"/>
          <w:sz w:val="24"/>
          <w:szCs w:val="24"/>
        </w:rPr>
      </w:pPr>
      <w:r w:rsidRPr="008F23E4">
        <w:rPr>
          <w:rFonts w:asciiTheme="minorHAnsi" w:hAnsiTheme="minorHAnsi"/>
          <w:b/>
        </w:rPr>
        <w:t>National Occupational Standards</w:t>
      </w:r>
      <w:r>
        <w:rPr>
          <w:rFonts w:asciiTheme="minorHAnsi" w:hAnsiTheme="minorHAnsi"/>
          <w:b/>
        </w:rPr>
        <w:t xml:space="preserve"> (NOS)</w:t>
      </w:r>
      <w:r w:rsidRPr="008F23E4">
        <w:rPr>
          <w:rFonts w:asciiTheme="minorHAnsi" w:hAnsiTheme="minorHAnsi"/>
          <w:b/>
        </w:rPr>
        <w:t xml:space="preserve"> for Archaeological Practice</w:t>
      </w:r>
    </w:p>
    <w:p w:rsidR="008F23E4" w:rsidRDefault="008F23E4" w:rsidP="008F23E4">
      <w:pPr>
        <w:pStyle w:val="ListParagraph"/>
        <w:rPr>
          <w:rFonts w:asciiTheme="minorHAnsi" w:hAnsiTheme="minorHAnsi"/>
          <w:b/>
        </w:rPr>
      </w:pPr>
    </w:p>
    <w:p w:rsidR="008F23E4" w:rsidRDefault="008F23E4" w:rsidP="008F23E4">
      <w:pPr>
        <w:pStyle w:val="ListParagraph"/>
        <w:rPr>
          <w:rFonts w:asciiTheme="minorHAnsi" w:hAnsiTheme="minorHAnsi"/>
        </w:rPr>
      </w:pPr>
      <w:r>
        <w:rPr>
          <w:rFonts w:asciiTheme="minorHAnsi" w:hAnsiTheme="minorHAnsi"/>
        </w:rPr>
        <w:t>National Occupational Standards are statements of competence which describe what a competent person can do across a wide range of occupational areas. They are the building blocks for vocational qualifications like NVQs but can also be used to design training programmes, define competencies within job descriptions and as a basis for auditing the skills an organisation has and tho</w:t>
      </w:r>
      <w:r w:rsidR="00100721">
        <w:rPr>
          <w:rFonts w:asciiTheme="minorHAnsi" w:hAnsiTheme="minorHAnsi"/>
        </w:rPr>
        <w:t>se it needs. CIfA has mapped the level of competence required at Practitioner grade to the NOS, specifically, those which make up the NVQ Level 3 Certificate in Archaeological Practice. An entry level training programme designed to deliver Practitioner level competence in a fieldwork context therefore should therefore be structured around the following NOS</w:t>
      </w:r>
    </w:p>
    <w:p w:rsidR="00100721" w:rsidRDefault="00100721" w:rsidP="008F23E4">
      <w:pPr>
        <w:pStyle w:val="ListParagraph"/>
        <w:rPr>
          <w:rFonts w:asciiTheme="minorHAnsi" w:hAnsiTheme="minorHAnsi"/>
        </w:rPr>
      </w:pPr>
    </w:p>
    <w:p w:rsidR="00100721" w:rsidRDefault="00100721" w:rsidP="008F23E4">
      <w:pPr>
        <w:pStyle w:val="ListParagraph"/>
        <w:rPr>
          <w:rFonts w:asciiTheme="minorHAnsi" w:hAnsiTheme="minorHAnsi"/>
        </w:rPr>
      </w:pPr>
    </w:p>
    <w:p w:rsidR="00100721" w:rsidRDefault="00100721" w:rsidP="008F23E4">
      <w:pPr>
        <w:pStyle w:val="ListParagraph"/>
        <w:rPr>
          <w:rFonts w:asciiTheme="minorHAnsi" w:hAnsiTheme="minorHAnsi"/>
        </w:rPr>
      </w:pPr>
      <w:r>
        <w:rPr>
          <w:rFonts w:asciiTheme="minorHAnsi" w:hAnsiTheme="minorHAnsi"/>
        </w:rPr>
        <w:lastRenderedPageBreak/>
        <w:t>CCSAPAC1</w:t>
      </w:r>
      <w:r>
        <w:rPr>
          <w:rFonts w:asciiTheme="minorHAnsi" w:hAnsiTheme="minorHAnsi"/>
        </w:rPr>
        <w:tab/>
        <w:t>Research and analyse information to achieve objectives</w:t>
      </w:r>
    </w:p>
    <w:p w:rsidR="00100721" w:rsidRDefault="00550231" w:rsidP="00100721">
      <w:pPr>
        <w:pStyle w:val="ListParagraph"/>
        <w:ind w:left="1440" w:firstLine="720"/>
        <w:rPr>
          <w:rFonts w:asciiTheme="minorHAnsi" w:hAnsiTheme="minorHAnsi" w:cs="Calibri"/>
          <w:color w:val="000000"/>
          <w:sz w:val="24"/>
          <w:szCs w:val="24"/>
        </w:rPr>
      </w:pPr>
      <w:hyperlink r:id="rId8" w:history="1">
        <w:r w:rsidR="00100721" w:rsidRPr="00182F70">
          <w:rPr>
            <w:rStyle w:val="Hyperlink"/>
            <w:rFonts w:asciiTheme="minorHAnsi" w:hAnsiTheme="minorHAnsi" w:cs="Calibri"/>
            <w:sz w:val="24"/>
            <w:szCs w:val="24"/>
          </w:rPr>
          <w:t>www.ukstandards.org.uk/PublishedNos/CCSAPAC1.pdf</w:t>
        </w:r>
      </w:hyperlink>
    </w:p>
    <w:p w:rsidR="007B1A79" w:rsidRDefault="007B1A79" w:rsidP="00100721">
      <w:pPr>
        <w:pStyle w:val="ListParagraph"/>
        <w:ind w:left="709"/>
        <w:rPr>
          <w:rFonts w:asciiTheme="minorHAnsi" w:hAnsiTheme="minorHAnsi" w:cs="Calibri"/>
          <w:color w:val="000000"/>
          <w:sz w:val="24"/>
          <w:szCs w:val="24"/>
        </w:rPr>
      </w:pPr>
    </w:p>
    <w:p w:rsidR="00100721" w:rsidRDefault="00100721" w:rsidP="00100721">
      <w:pPr>
        <w:pStyle w:val="ListParagraph"/>
        <w:ind w:left="709"/>
        <w:rPr>
          <w:rFonts w:asciiTheme="minorHAnsi" w:hAnsiTheme="minorHAnsi" w:cs="Calibri"/>
          <w:color w:val="000000"/>
          <w:sz w:val="24"/>
          <w:szCs w:val="24"/>
        </w:rPr>
      </w:pPr>
      <w:r w:rsidRPr="007B1A79">
        <w:rPr>
          <w:rFonts w:asciiTheme="minorHAnsi" w:hAnsiTheme="minorHAnsi" w:cs="Calibri"/>
          <w:color w:val="000000"/>
        </w:rPr>
        <w:t>CCSAPA</w:t>
      </w:r>
      <w:r w:rsidR="007B1A79" w:rsidRPr="007B1A79">
        <w:rPr>
          <w:rFonts w:asciiTheme="minorHAnsi" w:hAnsiTheme="minorHAnsi" w:cs="Calibri"/>
          <w:color w:val="000000"/>
        </w:rPr>
        <w:t>H10</w:t>
      </w:r>
      <w:r w:rsidR="007B1A79">
        <w:rPr>
          <w:rFonts w:asciiTheme="minorHAnsi" w:hAnsiTheme="minorHAnsi" w:cs="Calibri"/>
          <w:color w:val="000000"/>
          <w:sz w:val="24"/>
          <w:szCs w:val="24"/>
        </w:rPr>
        <w:tab/>
      </w:r>
      <w:r w:rsidR="007B1A79" w:rsidRPr="007B1A79">
        <w:rPr>
          <w:rFonts w:asciiTheme="minorHAnsi" w:hAnsiTheme="minorHAnsi" w:cs="Calibri"/>
          <w:color w:val="000000"/>
        </w:rPr>
        <w:t>Contribute to health and safety in the workplace</w:t>
      </w:r>
    </w:p>
    <w:p w:rsidR="007B1A79" w:rsidRDefault="007B1A79" w:rsidP="00100721">
      <w:pPr>
        <w:pStyle w:val="ListParagraph"/>
        <w:ind w:left="709"/>
        <w:rPr>
          <w:rFonts w:ascii="Segoe UI" w:hAnsi="Segoe UI" w:cs="Segoe UI"/>
          <w:color w:val="338200"/>
          <w:sz w:val="20"/>
          <w:szCs w:val="20"/>
        </w:rPr>
      </w:pPr>
      <w:r>
        <w:rPr>
          <w:rFonts w:asciiTheme="minorHAnsi" w:hAnsiTheme="minorHAnsi" w:cs="Calibri"/>
          <w:color w:val="000000"/>
          <w:sz w:val="24"/>
          <w:szCs w:val="24"/>
        </w:rPr>
        <w:tab/>
      </w:r>
      <w:r>
        <w:rPr>
          <w:rFonts w:asciiTheme="minorHAnsi" w:hAnsiTheme="minorHAnsi" w:cs="Calibri"/>
          <w:color w:val="000000"/>
          <w:sz w:val="24"/>
          <w:szCs w:val="24"/>
        </w:rPr>
        <w:tab/>
      </w:r>
      <w:r>
        <w:rPr>
          <w:rFonts w:asciiTheme="minorHAnsi" w:hAnsiTheme="minorHAnsi" w:cs="Calibri"/>
          <w:color w:val="000000"/>
          <w:sz w:val="24"/>
          <w:szCs w:val="24"/>
        </w:rPr>
        <w:tab/>
      </w:r>
      <w:hyperlink r:id="rId9" w:history="1">
        <w:r w:rsidRPr="00182F70">
          <w:rPr>
            <w:rStyle w:val="Hyperlink"/>
            <w:rFonts w:ascii="Segoe UI" w:hAnsi="Segoe UI" w:cs="Segoe UI"/>
            <w:sz w:val="20"/>
            <w:szCs w:val="20"/>
          </w:rPr>
          <w:t>www.ukstandards.org.uk/PublishedNos/CCSAPAH10.pdf</w:t>
        </w:r>
      </w:hyperlink>
    </w:p>
    <w:p w:rsidR="007B1A79" w:rsidRDefault="007B1A79" w:rsidP="00100721">
      <w:pPr>
        <w:pStyle w:val="ListParagraph"/>
        <w:ind w:left="709"/>
        <w:rPr>
          <w:rFonts w:ascii="Segoe UI" w:hAnsi="Segoe UI" w:cs="Segoe UI"/>
          <w:color w:val="338200"/>
          <w:sz w:val="20"/>
          <w:szCs w:val="20"/>
        </w:rPr>
      </w:pPr>
    </w:p>
    <w:p w:rsidR="007B1A79" w:rsidRPr="007B1A79" w:rsidRDefault="007B1A79" w:rsidP="00100721">
      <w:pPr>
        <w:pStyle w:val="ListParagraph"/>
        <w:ind w:left="709"/>
        <w:rPr>
          <w:rFonts w:asciiTheme="minorHAnsi" w:hAnsiTheme="minorHAnsi" w:cs="Segoe UI"/>
        </w:rPr>
      </w:pPr>
      <w:r w:rsidRPr="007B1A79">
        <w:rPr>
          <w:rFonts w:asciiTheme="minorHAnsi" w:hAnsiTheme="minorHAnsi" w:cs="Segoe UI"/>
        </w:rPr>
        <w:t>CCSAPAJ3</w:t>
      </w:r>
      <w:r w:rsidRPr="007B1A79">
        <w:rPr>
          <w:rFonts w:asciiTheme="minorHAnsi" w:hAnsiTheme="minorHAnsi" w:cs="Segoe UI"/>
        </w:rPr>
        <w:tab/>
        <w:t>Develop yourself and protect the interests of others</w:t>
      </w:r>
    </w:p>
    <w:p w:rsidR="007B1A79" w:rsidRDefault="007B1A79" w:rsidP="00100721">
      <w:pPr>
        <w:pStyle w:val="ListParagraph"/>
        <w:ind w:left="709"/>
        <w:rPr>
          <w:rFonts w:asciiTheme="minorHAnsi" w:hAnsiTheme="minorHAnsi" w:cs="Segoe UI"/>
          <w:color w:val="338200"/>
        </w:rPr>
      </w:pPr>
      <w:r>
        <w:rPr>
          <w:rFonts w:asciiTheme="minorHAnsi" w:hAnsiTheme="minorHAnsi" w:cs="Segoe UI"/>
          <w:color w:val="338200"/>
        </w:rPr>
        <w:tab/>
      </w:r>
      <w:r>
        <w:rPr>
          <w:rFonts w:asciiTheme="minorHAnsi" w:hAnsiTheme="minorHAnsi" w:cs="Segoe UI"/>
          <w:color w:val="338200"/>
        </w:rPr>
        <w:tab/>
      </w:r>
      <w:r>
        <w:rPr>
          <w:rFonts w:asciiTheme="minorHAnsi" w:hAnsiTheme="minorHAnsi" w:cs="Segoe UI"/>
          <w:color w:val="338200"/>
        </w:rPr>
        <w:tab/>
      </w:r>
      <w:hyperlink r:id="rId10" w:history="1">
        <w:r w:rsidRPr="007B1A79">
          <w:rPr>
            <w:rStyle w:val="Hyperlink"/>
            <w:rFonts w:asciiTheme="minorHAnsi" w:hAnsiTheme="minorHAnsi" w:cs="Segoe UI"/>
          </w:rPr>
          <w:t>www.ukstandards.org.uk/PublishedNos/CCSAPAJ3.pdf</w:t>
        </w:r>
      </w:hyperlink>
    </w:p>
    <w:p w:rsidR="007B1A79" w:rsidRDefault="007B1A79" w:rsidP="00100721">
      <w:pPr>
        <w:pStyle w:val="ListParagraph"/>
        <w:ind w:left="709"/>
        <w:rPr>
          <w:rFonts w:asciiTheme="minorHAnsi" w:hAnsiTheme="minorHAnsi" w:cs="Segoe UI"/>
          <w:color w:val="338200"/>
        </w:rPr>
      </w:pPr>
    </w:p>
    <w:p w:rsidR="007B1A79" w:rsidRPr="007B1A79" w:rsidRDefault="007B1A79" w:rsidP="00100721">
      <w:pPr>
        <w:pStyle w:val="ListParagraph"/>
        <w:ind w:left="709"/>
        <w:rPr>
          <w:rFonts w:asciiTheme="minorHAnsi" w:hAnsiTheme="minorHAnsi" w:cs="Segoe UI"/>
        </w:rPr>
      </w:pPr>
      <w:r w:rsidRPr="007B1A79">
        <w:rPr>
          <w:rFonts w:asciiTheme="minorHAnsi" w:hAnsiTheme="minorHAnsi" w:cs="Segoe UI"/>
        </w:rPr>
        <w:t>CCSAPAC3</w:t>
      </w:r>
      <w:r w:rsidRPr="007B1A79">
        <w:rPr>
          <w:rFonts w:asciiTheme="minorHAnsi" w:hAnsiTheme="minorHAnsi" w:cs="Segoe UI"/>
        </w:rPr>
        <w:tab/>
        <w:t>Contribute to non-intrusive investigation</w:t>
      </w:r>
    </w:p>
    <w:p w:rsidR="007B1A79" w:rsidRDefault="007B1A79" w:rsidP="00100721">
      <w:pPr>
        <w:pStyle w:val="ListParagraph"/>
        <w:ind w:left="709"/>
        <w:rPr>
          <w:rFonts w:ascii="Segoe UI" w:hAnsi="Segoe UI" w:cs="Segoe UI"/>
          <w:color w:val="338200"/>
          <w:sz w:val="20"/>
          <w:szCs w:val="20"/>
        </w:rPr>
      </w:pPr>
      <w:r>
        <w:rPr>
          <w:rFonts w:ascii="Segoe UI" w:hAnsi="Segoe UI" w:cs="Segoe UI"/>
          <w:color w:val="338200"/>
          <w:sz w:val="20"/>
          <w:szCs w:val="20"/>
        </w:rPr>
        <w:tab/>
      </w:r>
      <w:r>
        <w:rPr>
          <w:rFonts w:ascii="Segoe UI" w:hAnsi="Segoe UI" w:cs="Segoe UI"/>
          <w:color w:val="338200"/>
          <w:sz w:val="20"/>
          <w:szCs w:val="20"/>
        </w:rPr>
        <w:tab/>
      </w:r>
      <w:r>
        <w:rPr>
          <w:rFonts w:ascii="Segoe UI" w:hAnsi="Segoe UI" w:cs="Segoe UI"/>
          <w:color w:val="338200"/>
          <w:sz w:val="20"/>
          <w:szCs w:val="20"/>
        </w:rPr>
        <w:tab/>
      </w:r>
      <w:hyperlink r:id="rId11" w:history="1">
        <w:r w:rsidRPr="00182F70">
          <w:rPr>
            <w:rStyle w:val="Hyperlink"/>
            <w:rFonts w:ascii="Segoe UI" w:hAnsi="Segoe UI" w:cs="Segoe UI"/>
            <w:sz w:val="20"/>
            <w:szCs w:val="20"/>
          </w:rPr>
          <w:t>www.ukstandards.org.uk/PublishedNos/CCSAPAC3.pdf</w:t>
        </w:r>
      </w:hyperlink>
    </w:p>
    <w:p w:rsidR="007B1A79" w:rsidRDefault="007B1A79" w:rsidP="00100721">
      <w:pPr>
        <w:pStyle w:val="ListParagraph"/>
        <w:ind w:left="709"/>
        <w:rPr>
          <w:rFonts w:ascii="Segoe UI" w:hAnsi="Segoe UI" w:cs="Segoe UI"/>
          <w:color w:val="338200"/>
          <w:sz w:val="20"/>
          <w:szCs w:val="20"/>
        </w:rPr>
      </w:pPr>
    </w:p>
    <w:p w:rsidR="007B1A79" w:rsidRPr="007B1A79" w:rsidRDefault="007B1A79" w:rsidP="00100721">
      <w:pPr>
        <w:pStyle w:val="ListParagraph"/>
        <w:ind w:left="709"/>
        <w:rPr>
          <w:rFonts w:asciiTheme="minorHAnsi" w:hAnsiTheme="minorHAnsi" w:cs="Segoe UI"/>
        </w:rPr>
      </w:pPr>
      <w:r w:rsidRPr="007B1A79">
        <w:rPr>
          <w:rFonts w:asciiTheme="minorHAnsi" w:hAnsiTheme="minorHAnsi" w:cs="Segoe UI"/>
        </w:rPr>
        <w:t>CCSAPAC5</w:t>
      </w:r>
      <w:r w:rsidRPr="007B1A79">
        <w:rPr>
          <w:rFonts w:asciiTheme="minorHAnsi" w:hAnsiTheme="minorHAnsi" w:cs="Segoe UI"/>
        </w:rPr>
        <w:tab/>
        <w:t>Contribute to intrusive investigation</w:t>
      </w:r>
    </w:p>
    <w:p w:rsidR="007B1A79" w:rsidRDefault="007B1A79" w:rsidP="00100721">
      <w:pPr>
        <w:pStyle w:val="ListParagraph"/>
        <w:ind w:left="709"/>
        <w:rPr>
          <w:rFonts w:asciiTheme="minorHAnsi" w:hAnsiTheme="minorHAnsi" w:cs="Segoe UI"/>
          <w:color w:val="338200"/>
        </w:rPr>
      </w:pPr>
      <w:r>
        <w:rPr>
          <w:rFonts w:asciiTheme="minorHAnsi" w:hAnsiTheme="minorHAnsi" w:cs="Calibri"/>
        </w:rPr>
        <w:tab/>
      </w:r>
      <w:r>
        <w:rPr>
          <w:rFonts w:asciiTheme="minorHAnsi" w:hAnsiTheme="minorHAnsi" w:cs="Calibri"/>
        </w:rPr>
        <w:tab/>
      </w:r>
      <w:r>
        <w:rPr>
          <w:rFonts w:asciiTheme="minorHAnsi" w:hAnsiTheme="minorHAnsi" w:cs="Calibri"/>
        </w:rPr>
        <w:tab/>
      </w:r>
      <w:hyperlink r:id="rId12" w:history="1">
        <w:r w:rsidRPr="00182F70">
          <w:rPr>
            <w:rStyle w:val="Hyperlink"/>
            <w:rFonts w:asciiTheme="minorHAnsi" w:hAnsiTheme="minorHAnsi" w:cs="Segoe UI"/>
          </w:rPr>
          <w:t>www.ukstandards.org.uk/PublishedNos/CCSAPAC5.pdf</w:t>
        </w:r>
      </w:hyperlink>
    </w:p>
    <w:p w:rsidR="007B1A79" w:rsidRDefault="007B1A79" w:rsidP="00100721">
      <w:pPr>
        <w:pStyle w:val="ListParagraph"/>
        <w:ind w:left="709"/>
        <w:rPr>
          <w:rFonts w:asciiTheme="minorHAnsi" w:hAnsiTheme="minorHAnsi" w:cs="Segoe UI"/>
          <w:color w:val="338200"/>
        </w:rPr>
      </w:pPr>
    </w:p>
    <w:p w:rsidR="007B1A79" w:rsidRDefault="007B1A79" w:rsidP="00100721">
      <w:pPr>
        <w:pStyle w:val="ListParagraph"/>
        <w:ind w:left="709"/>
        <w:rPr>
          <w:rFonts w:asciiTheme="minorHAnsi" w:hAnsiTheme="minorHAnsi" w:cs="Segoe UI"/>
          <w:color w:val="338200"/>
        </w:rPr>
      </w:pPr>
    </w:p>
    <w:p w:rsidR="007B1A79" w:rsidRPr="007B1A79" w:rsidRDefault="007B1A79" w:rsidP="00100721">
      <w:pPr>
        <w:pStyle w:val="ListParagraph"/>
        <w:ind w:left="709"/>
        <w:rPr>
          <w:rFonts w:asciiTheme="minorHAnsi" w:hAnsiTheme="minorHAnsi" w:cs="Calibri"/>
        </w:rPr>
      </w:pPr>
    </w:p>
    <w:p w:rsidR="00100721" w:rsidRDefault="0053553B" w:rsidP="0053553B">
      <w:pPr>
        <w:pStyle w:val="ListParagraph"/>
        <w:numPr>
          <w:ilvl w:val="0"/>
          <w:numId w:val="10"/>
        </w:numPr>
        <w:rPr>
          <w:rFonts w:asciiTheme="minorHAnsi" w:hAnsiTheme="minorHAnsi" w:cs="Calibri"/>
          <w:b/>
        </w:rPr>
      </w:pPr>
      <w:r w:rsidRPr="0053553B">
        <w:rPr>
          <w:rFonts w:asciiTheme="minorHAnsi" w:hAnsiTheme="minorHAnsi" w:cs="Calibri"/>
          <w:b/>
        </w:rPr>
        <w:t>CIfA approved training posts</w:t>
      </w:r>
    </w:p>
    <w:p w:rsidR="0053553B" w:rsidRDefault="0053553B" w:rsidP="0053553B">
      <w:pPr>
        <w:pStyle w:val="ListParagraph"/>
        <w:rPr>
          <w:rFonts w:asciiTheme="minorHAnsi" w:hAnsiTheme="minorHAnsi" w:cs="Calibri"/>
          <w:b/>
        </w:rPr>
      </w:pPr>
    </w:p>
    <w:p w:rsidR="0053553B" w:rsidRDefault="0053553B" w:rsidP="0053553B">
      <w:pPr>
        <w:pStyle w:val="ListParagraph"/>
        <w:rPr>
          <w:rFonts w:asciiTheme="minorHAnsi" w:hAnsiTheme="minorHAnsi" w:cs="Calibri"/>
        </w:rPr>
      </w:pPr>
      <w:r>
        <w:rPr>
          <w:rFonts w:asciiTheme="minorHAnsi" w:hAnsiTheme="minorHAnsi" w:cs="Calibri"/>
        </w:rPr>
        <w:t xml:space="preserve">Further guidance on establishing entry level training positions is available in the professional practice paper </w:t>
      </w:r>
      <w:r w:rsidRPr="0053553B">
        <w:rPr>
          <w:rFonts w:asciiTheme="minorHAnsi" w:hAnsiTheme="minorHAnsi" w:cs="Calibri"/>
          <w:i/>
        </w:rPr>
        <w:t>An introduction to providing career entry training in your organisation</w:t>
      </w:r>
      <w:r>
        <w:rPr>
          <w:rFonts w:asciiTheme="minorHAnsi" w:hAnsiTheme="minorHAnsi" w:cs="Calibri"/>
          <w:i/>
        </w:rPr>
        <w:t xml:space="preserve"> </w:t>
      </w:r>
      <w:r>
        <w:rPr>
          <w:rFonts w:asciiTheme="minorHAnsi" w:hAnsiTheme="minorHAnsi" w:cs="Calibri"/>
        </w:rPr>
        <w:t xml:space="preserve">available on the CIfA website at </w:t>
      </w:r>
      <w:hyperlink r:id="rId13" w:history="1">
        <w:r w:rsidRPr="00182F70">
          <w:rPr>
            <w:rStyle w:val="Hyperlink"/>
            <w:rFonts w:asciiTheme="minorHAnsi" w:hAnsiTheme="minorHAnsi" w:cs="Calibri"/>
          </w:rPr>
          <w:t>http://www.archaeologists.net/sites/default/files/2014.PPP_.Training-toolkit-web_0.pdf</w:t>
        </w:r>
      </w:hyperlink>
      <w:r>
        <w:rPr>
          <w:rFonts w:asciiTheme="minorHAnsi" w:hAnsiTheme="minorHAnsi" w:cs="Calibri"/>
        </w:rPr>
        <w:t xml:space="preserve">. </w:t>
      </w:r>
      <w:r w:rsidR="00E445AA">
        <w:rPr>
          <w:rFonts w:asciiTheme="minorHAnsi" w:hAnsiTheme="minorHAnsi" w:cs="Calibri"/>
        </w:rPr>
        <w:t xml:space="preserve">Example training </w:t>
      </w:r>
      <w:r w:rsidR="009D65DF">
        <w:rPr>
          <w:rFonts w:asciiTheme="minorHAnsi" w:hAnsiTheme="minorHAnsi" w:cs="Calibri"/>
        </w:rPr>
        <w:t>plans are also available on the website</w:t>
      </w:r>
      <w:r w:rsidR="00E445AA">
        <w:rPr>
          <w:rFonts w:asciiTheme="minorHAnsi" w:hAnsiTheme="minorHAnsi" w:cs="Calibri"/>
        </w:rPr>
        <w:t xml:space="preserve"> at </w:t>
      </w:r>
      <w:hyperlink r:id="rId14" w:history="1">
        <w:r w:rsidR="00E445AA" w:rsidRPr="00FA2724">
          <w:rPr>
            <w:rStyle w:val="Hyperlink"/>
            <w:rFonts w:asciiTheme="minorHAnsi" w:hAnsiTheme="minorHAnsi" w:cs="Calibri"/>
          </w:rPr>
          <w:t>http://www.archaeologists.net/trainingtoolkit</w:t>
        </w:r>
      </w:hyperlink>
      <w:r w:rsidR="00E445AA">
        <w:rPr>
          <w:rFonts w:asciiTheme="minorHAnsi" w:hAnsiTheme="minorHAnsi" w:cs="Calibri"/>
        </w:rPr>
        <w:t>, including training plans for site based roles.</w:t>
      </w:r>
    </w:p>
    <w:p w:rsidR="0053553B" w:rsidRDefault="0053553B" w:rsidP="0053553B">
      <w:pPr>
        <w:pStyle w:val="ListParagraph"/>
        <w:rPr>
          <w:rFonts w:asciiTheme="minorHAnsi" w:hAnsiTheme="minorHAnsi" w:cs="Calibri"/>
        </w:rPr>
      </w:pPr>
    </w:p>
    <w:p w:rsidR="0053553B" w:rsidRDefault="0053553B" w:rsidP="0053553B">
      <w:pPr>
        <w:pStyle w:val="ListParagraph"/>
        <w:rPr>
          <w:rFonts w:asciiTheme="minorHAnsi" w:hAnsiTheme="minorHAnsi" w:cs="Calibri"/>
        </w:rPr>
      </w:pPr>
      <w:r>
        <w:rPr>
          <w:rFonts w:asciiTheme="minorHAnsi" w:hAnsiTheme="minorHAnsi" w:cs="Calibri"/>
        </w:rPr>
        <w:t>For</w:t>
      </w:r>
      <w:r w:rsidR="00E445AA">
        <w:rPr>
          <w:rFonts w:asciiTheme="minorHAnsi" w:hAnsiTheme="minorHAnsi" w:cs="Calibri"/>
        </w:rPr>
        <w:t xml:space="preserve"> the purposes of CSCS, CIfA will formally</w:t>
      </w:r>
      <w:r>
        <w:rPr>
          <w:rFonts w:asciiTheme="minorHAnsi" w:hAnsiTheme="minorHAnsi" w:cs="Calibri"/>
        </w:rPr>
        <w:t xml:space="preserve"> approve employer training schemes</w:t>
      </w:r>
      <w:r w:rsidR="00E445AA">
        <w:rPr>
          <w:rFonts w:asciiTheme="minorHAnsi" w:hAnsiTheme="minorHAnsi" w:cs="Calibri"/>
        </w:rPr>
        <w:t xml:space="preserve"> which can demonstrate the following</w:t>
      </w:r>
    </w:p>
    <w:p w:rsidR="009D65DF" w:rsidRDefault="009D65DF" w:rsidP="0053553B">
      <w:pPr>
        <w:pStyle w:val="ListParagraph"/>
      </w:pPr>
    </w:p>
    <w:p w:rsidR="006C722A" w:rsidRDefault="006C722A" w:rsidP="0053553B">
      <w:pPr>
        <w:pStyle w:val="ListParagraph"/>
        <w:numPr>
          <w:ilvl w:val="0"/>
          <w:numId w:val="4"/>
        </w:numPr>
        <w:spacing w:line="276" w:lineRule="auto"/>
        <w:ind w:left="1560" w:hanging="426"/>
        <w:rPr>
          <w:rFonts w:asciiTheme="minorHAnsi" w:hAnsiTheme="minorHAnsi"/>
        </w:rPr>
      </w:pPr>
      <w:r>
        <w:rPr>
          <w:rFonts w:asciiTheme="minorHAnsi" w:hAnsiTheme="minorHAnsi"/>
        </w:rPr>
        <w:t>learning outcomes are appropriate and achievable</w:t>
      </w:r>
      <w:r>
        <w:rPr>
          <w:rFonts w:asciiTheme="minorHAnsi" w:hAnsiTheme="minorHAnsi"/>
          <w:color w:val="00B050"/>
        </w:rPr>
        <w:t xml:space="preserve">, </w:t>
      </w:r>
      <w:r>
        <w:rPr>
          <w:rFonts w:asciiTheme="minorHAnsi" w:hAnsiTheme="minorHAnsi"/>
        </w:rPr>
        <w:t>and are expressed in terms of national occupational standards or other nationally recognised benchmarks</w:t>
      </w:r>
    </w:p>
    <w:p w:rsidR="009D65DF" w:rsidRDefault="006C722A" w:rsidP="000C53DF">
      <w:pPr>
        <w:pStyle w:val="ListParagraph"/>
        <w:numPr>
          <w:ilvl w:val="0"/>
          <w:numId w:val="4"/>
        </w:numPr>
        <w:spacing w:line="276" w:lineRule="auto"/>
        <w:ind w:left="1560" w:hanging="426"/>
        <w:rPr>
          <w:rFonts w:asciiTheme="minorHAnsi" w:hAnsiTheme="minorHAnsi"/>
        </w:rPr>
      </w:pPr>
      <w:r w:rsidRPr="009D65DF">
        <w:rPr>
          <w:rFonts w:asciiTheme="minorHAnsi" w:hAnsiTheme="minorHAnsi"/>
        </w:rPr>
        <w:t xml:space="preserve">learning outcomes include understanding of relevant ethical issues </w:t>
      </w:r>
    </w:p>
    <w:p w:rsidR="006C722A" w:rsidRPr="009D65DF" w:rsidRDefault="006C722A" w:rsidP="000C53DF">
      <w:pPr>
        <w:pStyle w:val="ListParagraph"/>
        <w:numPr>
          <w:ilvl w:val="0"/>
          <w:numId w:val="4"/>
        </w:numPr>
        <w:spacing w:line="276" w:lineRule="auto"/>
        <w:ind w:left="1560" w:hanging="426"/>
        <w:rPr>
          <w:rFonts w:asciiTheme="minorHAnsi" w:hAnsiTheme="minorHAnsi"/>
        </w:rPr>
      </w:pPr>
      <w:r w:rsidRPr="009D65DF">
        <w:rPr>
          <w:rFonts w:asciiTheme="minorHAnsi" w:hAnsiTheme="minorHAnsi"/>
        </w:rPr>
        <w:t xml:space="preserve">learning outcomes can lead to professional </w:t>
      </w:r>
      <w:r w:rsidR="009D65DF">
        <w:rPr>
          <w:rFonts w:asciiTheme="minorHAnsi" w:hAnsiTheme="minorHAnsi"/>
        </w:rPr>
        <w:t>accreditation</w:t>
      </w:r>
      <w:r w:rsidRPr="009D65DF">
        <w:rPr>
          <w:rFonts w:asciiTheme="minorHAnsi" w:hAnsiTheme="minorHAnsi"/>
        </w:rPr>
        <w:t xml:space="preserve"> </w:t>
      </w:r>
    </w:p>
    <w:p w:rsidR="006C722A" w:rsidRDefault="006C722A" w:rsidP="0053553B">
      <w:pPr>
        <w:pStyle w:val="ListParagraph"/>
        <w:numPr>
          <w:ilvl w:val="0"/>
          <w:numId w:val="4"/>
        </w:numPr>
        <w:spacing w:line="276" w:lineRule="auto"/>
        <w:ind w:left="1560" w:hanging="426"/>
        <w:rPr>
          <w:rFonts w:asciiTheme="minorHAnsi" w:hAnsiTheme="minorHAnsi"/>
        </w:rPr>
      </w:pPr>
      <w:r>
        <w:rPr>
          <w:rFonts w:asciiTheme="minorHAnsi" w:hAnsiTheme="minorHAnsi"/>
        </w:rPr>
        <w:t>there is active encouragement of CPD culture</w:t>
      </w:r>
    </w:p>
    <w:p w:rsidR="006C722A" w:rsidRDefault="006C722A" w:rsidP="0053553B">
      <w:pPr>
        <w:pStyle w:val="ListParagraph"/>
        <w:numPr>
          <w:ilvl w:val="0"/>
          <w:numId w:val="4"/>
        </w:numPr>
        <w:spacing w:line="276" w:lineRule="auto"/>
        <w:ind w:left="1560" w:hanging="426"/>
        <w:rPr>
          <w:rFonts w:asciiTheme="minorHAnsi" w:hAnsiTheme="minorHAnsi"/>
        </w:rPr>
      </w:pPr>
      <w:r>
        <w:rPr>
          <w:rFonts w:asciiTheme="minorHAnsi" w:hAnsiTheme="minorHAnsi"/>
        </w:rPr>
        <w:t>supervision/tuition is undertaken by appropriately competent and accredited organisations and individuals</w:t>
      </w:r>
    </w:p>
    <w:p w:rsidR="00550231" w:rsidRDefault="00550231" w:rsidP="00550231"/>
    <w:p w:rsidR="00550231" w:rsidRDefault="00550231" w:rsidP="00550231">
      <w:pPr>
        <w:pStyle w:val="ListParagraph"/>
        <w:numPr>
          <w:ilvl w:val="0"/>
          <w:numId w:val="10"/>
        </w:numPr>
        <w:rPr>
          <w:rFonts w:asciiTheme="minorHAnsi" w:hAnsiTheme="minorHAnsi"/>
          <w:b/>
        </w:rPr>
      </w:pPr>
      <w:r w:rsidRPr="00550231">
        <w:rPr>
          <w:rFonts w:asciiTheme="minorHAnsi" w:hAnsiTheme="minorHAnsi"/>
          <w:b/>
        </w:rPr>
        <w:t>Example learning outcomes document</w:t>
      </w:r>
    </w:p>
    <w:p w:rsidR="00550231" w:rsidRDefault="00550231" w:rsidP="00550231">
      <w:pPr>
        <w:pStyle w:val="ListParagraph"/>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459"/>
        <w:gridCol w:w="2559"/>
        <w:gridCol w:w="2241"/>
      </w:tblGrid>
      <w:tr w:rsidR="00550231" w:rsidTr="000A4288">
        <w:tc>
          <w:tcPr>
            <w:tcW w:w="2263" w:type="dxa"/>
            <w:tcBorders>
              <w:top w:val="single" w:sz="4" w:space="0" w:color="000000"/>
              <w:left w:val="single" w:sz="4" w:space="0" w:color="000000"/>
              <w:bottom w:val="single" w:sz="4" w:space="0" w:color="000000"/>
              <w:right w:val="single" w:sz="4" w:space="0" w:color="000000"/>
            </w:tcBorders>
            <w:hideMark/>
          </w:tcPr>
          <w:p w:rsidR="00550231" w:rsidRPr="00550231" w:rsidRDefault="00550231" w:rsidP="000A4288">
            <w:pPr>
              <w:rPr>
                <w:rFonts w:ascii="Calibri" w:hAnsi="Calibri"/>
                <w:b/>
                <w:sz w:val="20"/>
                <w:szCs w:val="20"/>
              </w:rPr>
            </w:pPr>
            <w:r w:rsidRPr="00550231">
              <w:rPr>
                <w:rFonts w:ascii="Calibri" w:hAnsi="Calibri"/>
                <w:b/>
                <w:sz w:val="20"/>
                <w:szCs w:val="20"/>
              </w:rPr>
              <w:t>Learning Goals (LG)</w:t>
            </w:r>
          </w:p>
        </w:tc>
        <w:tc>
          <w:tcPr>
            <w:tcW w:w="1459" w:type="dxa"/>
            <w:tcBorders>
              <w:top w:val="single" w:sz="4" w:space="0" w:color="000000"/>
              <w:left w:val="single" w:sz="4" w:space="0" w:color="000000"/>
              <w:bottom w:val="single" w:sz="4" w:space="0" w:color="000000"/>
              <w:right w:val="single" w:sz="4" w:space="0" w:color="000000"/>
            </w:tcBorders>
            <w:hideMark/>
          </w:tcPr>
          <w:p w:rsidR="00550231" w:rsidRPr="00550231" w:rsidRDefault="00550231" w:rsidP="000A4288">
            <w:pPr>
              <w:rPr>
                <w:rFonts w:ascii="Calibri" w:hAnsi="Calibri"/>
                <w:b/>
                <w:sz w:val="20"/>
                <w:szCs w:val="20"/>
              </w:rPr>
            </w:pPr>
            <w:r w:rsidRPr="00550231">
              <w:rPr>
                <w:rFonts w:ascii="Calibri" w:hAnsi="Calibri"/>
                <w:b/>
                <w:sz w:val="20"/>
                <w:szCs w:val="20"/>
              </w:rPr>
              <w:t>Natio</w:t>
            </w:r>
            <w:r w:rsidRPr="00550231">
              <w:rPr>
                <w:rFonts w:ascii="Calibri" w:hAnsi="Calibri"/>
                <w:b/>
                <w:sz w:val="20"/>
              </w:rPr>
              <w:t>nal Occupational Standards (NOS</w:t>
            </w:r>
            <w:r w:rsidRPr="00550231">
              <w:rPr>
                <w:rFonts w:ascii="Calibri" w:hAnsi="Calibri"/>
                <w:b/>
                <w:sz w:val="20"/>
                <w:szCs w:val="20"/>
              </w:rPr>
              <w:t>) to be met</w:t>
            </w:r>
          </w:p>
        </w:tc>
        <w:tc>
          <w:tcPr>
            <w:tcW w:w="2559" w:type="dxa"/>
            <w:tcBorders>
              <w:top w:val="single" w:sz="4" w:space="0" w:color="000000"/>
              <w:left w:val="single" w:sz="4" w:space="0" w:color="000000"/>
              <w:bottom w:val="single" w:sz="4" w:space="0" w:color="000000"/>
              <w:right w:val="single" w:sz="4" w:space="0" w:color="000000"/>
            </w:tcBorders>
            <w:hideMark/>
          </w:tcPr>
          <w:p w:rsidR="00550231" w:rsidRPr="00550231" w:rsidRDefault="00550231" w:rsidP="000A4288">
            <w:pPr>
              <w:rPr>
                <w:rFonts w:ascii="Calibri" w:hAnsi="Calibri"/>
                <w:b/>
                <w:sz w:val="20"/>
                <w:szCs w:val="20"/>
              </w:rPr>
            </w:pPr>
            <w:r w:rsidRPr="00550231">
              <w:rPr>
                <w:rFonts w:ascii="Calibri" w:hAnsi="Calibri"/>
                <w:b/>
                <w:sz w:val="20"/>
                <w:szCs w:val="20"/>
              </w:rPr>
              <w:t>Learning activities and tasks</w:t>
            </w:r>
          </w:p>
        </w:tc>
        <w:tc>
          <w:tcPr>
            <w:tcW w:w="2241" w:type="dxa"/>
            <w:tcBorders>
              <w:top w:val="single" w:sz="4" w:space="0" w:color="000000"/>
              <w:left w:val="single" w:sz="4" w:space="0" w:color="000000"/>
              <w:bottom w:val="single" w:sz="4" w:space="0" w:color="000000"/>
              <w:right w:val="single" w:sz="4" w:space="0" w:color="000000"/>
            </w:tcBorders>
            <w:hideMark/>
          </w:tcPr>
          <w:p w:rsidR="00550231" w:rsidRPr="00550231" w:rsidRDefault="00550231" w:rsidP="000A4288">
            <w:pPr>
              <w:rPr>
                <w:rFonts w:ascii="Calibri" w:hAnsi="Calibri"/>
                <w:b/>
                <w:sz w:val="20"/>
                <w:szCs w:val="20"/>
              </w:rPr>
            </w:pPr>
            <w:r w:rsidRPr="00550231">
              <w:rPr>
                <w:rFonts w:ascii="Calibri" w:hAnsi="Calibri"/>
                <w:b/>
                <w:sz w:val="20"/>
                <w:szCs w:val="20"/>
              </w:rPr>
              <w:t xml:space="preserve">Who will support the </w:t>
            </w:r>
            <w:r w:rsidRPr="00550231">
              <w:rPr>
                <w:rFonts w:ascii="Calibri" w:hAnsi="Calibri"/>
                <w:b/>
                <w:sz w:val="20"/>
              </w:rPr>
              <w:t>trainee</w:t>
            </w:r>
            <w:r w:rsidRPr="00550231">
              <w:rPr>
                <w:rFonts w:ascii="Calibri" w:hAnsi="Calibri"/>
                <w:b/>
                <w:sz w:val="20"/>
                <w:szCs w:val="20"/>
              </w:rPr>
              <w:t xml:space="preserve"> with this goal?</w:t>
            </w:r>
          </w:p>
        </w:tc>
      </w:tr>
      <w:tr w:rsidR="00550231" w:rsidTr="000A4288">
        <w:tc>
          <w:tcPr>
            <w:tcW w:w="2263" w:type="dxa"/>
            <w:tcBorders>
              <w:top w:val="single" w:sz="4" w:space="0" w:color="000000"/>
              <w:left w:val="single" w:sz="4" w:space="0" w:color="000000"/>
              <w:bottom w:val="single" w:sz="4" w:space="0" w:color="000000"/>
              <w:right w:val="single" w:sz="4" w:space="0" w:color="000000"/>
            </w:tcBorders>
          </w:tcPr>
          <w:p w:rsidR="00550231" w:rsidRPr="00416BE2" w:rsidRDefault="00550231" w:rsidP="00550231">
            <w:pPr>
              <w:pStyle w:val="ListParagraph"/>
              <w:numPr>
                <w:ilvl w:val="0"/>
                <w:numId w:val="15"/>
              </w:numPr>
              <w:spacing w:after="120"/>
              <w:ind w:left="164" w:hanging="164"/>
              <w:rPr>
                <w:rFonts w:ascii="Calibri" w:hAnsi="Calibri"/>
                <w:i/>
                <w:sz w:val="20"/>
              </w:rPr>
            </w:pPr>
            <w:r>
              <w:rPr>
                <w:rFonts w:ascii="Calibri" w:hAnsi="Calibri"/>
                <w:i/>
                <w:sz w:val="20"/>
              </w:rPr>
              <w:t xml:space="preserve">Learn how to collect and analyse information and report </w:t>
            </w:r>
            <w:r>
              <w:rPr>
                <w:rFonts w:ascii="Calibri" w:hAnsi="Calibri"/>
                <w:i/>
                <w:sz w:val="20"/>
              </w:rPr>
              <w:lastRenderedPageBreak/>
              <w:t>on results as part of the research process</w:t>
            </w:r>
          </w:p>
        </w:tc>
        <w:tc>
          <w:tcPr>
            <w:tcW w:w="1459" w:type="dxa"/>
            <w:tcBorders>
              <w:top w:val="single" w:sz="4" w:space="0" w:color="000000"/>
              <w:left w:val="single" w:sz="4" w:space="0" w:color="000000"/>
              <w:bottom w:val="single" w:sz="4" w:space="0" w:color="000000"/>
              <w:right w:val="single" w:sz="4" w:space="0" w:color="000000"/>
            </w:tcBorders>
          </w:tcPr>
          <w:p w:rsidR="00550231" w:rsidRPr="00550231" w:rsidRDefault="00550231" w:rsidP="000A4288">
            <w:pPr>
              <w:rPr>
                <w:rFonts w:ascii="Calibri" w:hAnsi="Calibri"/>
                <w:sz w:val="20"/>
              </w:rPr>
            </w:pPr>
            <w:r w:rsidRPr="00550231">
              <w:rPr>
                <w:rFonts w:ascii="Calibri" w:hAnsi="Calibri"/>
                <w:sz w:val="20"/>
              </w:rPr>
              <w:lastRenderedPageBreak/>
              <w:t>CCAPAC1</w:t>
            </w:r>
          </w:p>
        </w:tc>
        <w:tc>
          <w:tcPr>
            <w:tcW w:w="2559" w:type="dxa"/>
            <w:tcBorders>
              <w:top w:val="single" w:sz="4" w:space="0" w:color="000000"/>
              <w:left w:val="single" w:sz="4" w:space="0" w:color="000000"/>
              <w:bottom w:val="single" w:sz="4" w:space="0" w:color="000000"/>
              <w:right w:val="single" w:sz="4" w:space="0" w:color="000000"/>
            </w:tcBorders>
          </w:tcPr>
          <w:p w:rsidR="00550231" w:rsidRPr="002B1A82" w:rsidRDefault="00550231" w:rsidP="000A4288">
            <w:pPr>
              <w:rPr>
                <w:rFonts w:ascii="Calibri" w:hAnsi="Calibri"/>
                <w:i/>
                <w:sz w:val="20"/>
                <w:szCs w:val="20"/>
              </w:rPr>
            </w:pPr>
            <w:r>
              <w:rPr>
                <w:rFonts w:ascii="Calibri" w:hAnsi="Calibri" w:cs="Arial"/>
                <w:i/>
                <w:sz w:val="20"/>
              </w:rPr>
              <w:t>The trainee</w:t>
            </w:r>
            <w:r w:rsidRPr="002B1A82">
              <w:rPr>
                <w:rFonts w:ascii="Calibri" w:hAnsi="Calibri" w:cs="Arial"/>
                <w:i/>
                <w:sz w:val="20"/>
                <w:szCs w:val="20"/>
              </w:rPr>
              <w:t xml:space="preserve"> will learn the process for accessing and using </w:t>
            </w:r>
            <w:r>
              <w:rPr>
                <w:rFonts w:ascii="Calibri" w:hAnsi="Calibri" w:cs="Arial"/>
                <w:i/>
                <w:sz w:val="20"/>
              </w:rPr>
              <w:t>different information sources</w:t>
            </w:r>
            <w:r w:rsidRPr="002B1A82">
              <w:rPr>
                <w:rFonts w:ascii="Calibri" w:hAnsi="Calibri" w:cs="Arial"/>
                <w:i/>
                <w:sz w:val="20"/>
                <w:szCs w:val="20"/>
              </w:rPr>
              <w:t xml:space="preserve"> to inform current </w:t>
            </w:r>
            <w:r w:rsidRPr="002B1A82">
              <w:rPr>
                <w:rFonts w:ascii="Calibri" w:hAnsi="Calibri" w:cs="Arial"/>
                <w:i/>
                <w:sz w:val="20"/>
                <w:szCs w:val="20"/>
              </w:rPr>
              <w:lastRenderedPageBreak/>
              <w:t>work</w:t>
            </w:r>
            <w:r>
              <w:rPr>
                <w:rFonts w:ascii="Calibri" w:hAnsi="Calibri" w:cs="Arial"/>
                <w:i/>
                <w:sz w:val="20"/>
              </w:rPr>
              <w:t>, including identification, verification and use of primary and secondary sources and different ways of reporting results to different audiences</w:t>
            </w:r>
          </w:p>
        </w:tc>
        <w:tc>
          <w:tcPr>
            <w:tcW w:w="2241" w:type="dxa"/>
            <w:tcBorders>
              <w:top w:val="single" w:sz="4" w:space="0" w:color="000000"/>
              <w:left w:val="single" w:sz="4" w:space="0" w:color="000000"/>
              <w:bottom w:val="single" w:sz="4" w:space="0" w:color="000000"/>
              <w:right w:val="single" w:sz="4" w:space="0" w:color="000000"/>
            </w:tcBorders>
          </w:tcPr>
          <w:p w:rsidR="00550231" w:rsidRDefault="00550231" w:rsidP="000A4288">
            <w:pPr>
              <w:rPr>
                <w:rFonts w:ascii="Calibri" w:hAnsi="Calibri"/>
                <w:i/>
                <w:sz w:val="20"/>
              </w:rPr>
            </w:pPr>
          </w:p>
        </w:tc>
      </w:tr>
      <w:tr w:rsidR="00550231" w:rsidTr="000A4288">
        <w:tc>
          <w:tcPr>
            <w:tcW w:w="2263" w:type="dxa"/>
            <w:tcBorders>
              <w:top w:val="single" w:sz="4" w:space="0" w:color="000000"/>
              <w:left w:val="single" w:sz="4" w:space="0" w:color="000000"/>
              <w:bottom w:val="single" w:sz="4" w:space="0" w:color="000000"/>
              <w:right w:val="single" w:sz="4" w:space="0" w:color="000000"/>
            </w:tcBorders>
            <w:hideMark/>
          </w:tcPr>
          <w:p w:rsidR="00550231" w:rsidRPr="002B1A82" w:rsidRDefault="00550231" w:rsidP="00550231">
            <w:pPr>
              <w:pStyle w:val="ListParagraph"/>
              <w:numPr>
                <w:ilvl w:val="0"/>
                <w:numId w:val="15"/>
              </w:numPr>
              <w:spacing w:after="120"/>
              <w:ind w:left="164" w:hanging="142"/>
              <w:rPr>
                <w:rFonts w:ascii="Calibri" w:hAnsi="Calibri"/>
                <w:i/>
                <w:sz w:val="20"/>
              </w:rPr>
            </w:pPr>
            <w:r w:rsidRPr="002B1A82">
              <w:rPr>
                <w:rFonts w:ascii="Calibri" w:hAnsi="Calibri"/>
                <w:i/>
                <w:sz w:val="20"/>
              </w:rPr>
              <w:t>Learn how to operate safely and follow Health and Safety and security procedures in the workplace; to be able to respond to emergencies and assist in the security of the workplace.</w:t>
            </w:r>
          </w:p>
        </w:tc>
        <w:tc>
          <w:tcPr>
            <w:tcW w:w="1459" w:type="dxa"/>
            <w:tcBorders>
              <w:top w:val="single" w:sz="4" w:space="0" w:color="000000"/>
              <w:left w:val="single" w:sz="4" w:space="0" w:color="000000"/>
              <w:bottom w:val="single" w:sz="4" w:space="0" w:color="000000"/>
              <w:right w:val="single" w:sz="4" w:space="0" w:color="000000"/>
            </w:tcBorders>
            <w:hideMark/>
          </w:tcPr>
          <w:p w:rsidR="00550231" w:rsidRDefault="00550231" w:rsidP="000A4288">
            <w:pPr>
              <w:rPr>
                <w:rFonts w:ascii="Calibri" w:hAnsi="Calibri"/>
                <w:i/>
                <w:sz w:val="20"/>
                <w:szCs w:val="20"/>
              </w:rPr>
            </w:pPr>
            <w:r>
              <w:rPr>
                <w:rFonts w:ascii="Calibri" w:hAnsi="Calibri"/>
                <w:i/>
                <w:sz w:val="20"/>
              </w:rPr>
              <w:t>CCSAPAH10</w:t>
            </w:r>
          </w:p>
        </w:tc>
        <w:tc>
          <w:tcPr>
            <w:tcW w:w="2559" w:type="dxa"/>
            <w:tcBorders>
              <w:top w:val="single" w:sz="4" w:space="0" w:color="000000"/>
              <w:left w:val="single" w:sz="4" w:space="0" w:color="000000"/>
              <w:bottom w:val="single" w:sz="4" w:space="0" w:color="000000"/>
              <w:right w:val="single" w:sz="4" w:space="0" w:color="000000"/>
            </w:tcBorders>
          </w:tcPr>
          <w:p w:rsidR="00550231" w:rsidRDefault="00550231" w:rsidP="000A4288">
            <w:pPr>
              <w:rPr>
                <w:rFonts w:ascii="Calibri" w:hAnsi="Calibri"/>
                <w:i/>
                <w:sz w:val="20"/>
              </w:rPr>
            </w:pPr>
            <w:r>
              <w:rPr>
                <w:rFonts w:ascii="Calibri" w:hAnsi="Calibri"/>
                <w:i/>
                <w:sz w:val="20"/>
                <w:szCs w:val="20"/>
              </w:rPr>
              <w:t>Completion of Health and Safety Checklist, completion of risk assessments; receive training in organisation’s Health and Safety procedures.</w:t>
            </w:r>
          </w:p>
          <w:p w:rsidR="00550231" w:rsidRPr="002B1A82" w:rsidRDefault="00550231" w:rsidP="000A4288">
            <w:pPr>
              <w:rPr>
                <w:rFonts w:ascii="Calibri" w:hAnsi="Calibri"/>
                <w:i/>
                <w:sz w:val="20"/>
                <w:szCs w:val="20"/>
              </w:rPr>
            </w:pPr>
            <w:r>
              <w:rPr>
                <w:rFonts w:ascii="Calibri" w:hAnsi="Calibri"/>
                <w:i/>
                <w:sz w:val="20"/>
              </w:rPr>
              <w:t>Undertake risk assessment, manual handling and other H&amp;S training as appropriate</w:t>
            </w:r>
            <w:r w:rsidRPr="002B1A82">
              <w:rPr>
                <w:rFonts w:ascii="Calibri" w:hAnsi="Calibri"/>
                <w:i/>
                <w:sz w:val="20"/>
                <w:szCs w:val="20"/>
              </w:rPr>
              <w:t>.  Production of a risk assessment.</w:t>
            </w:r>
          </w:p>
          <w:p w:rsidR="00550231" w:rsidRPr="002B1A82" w:rsidRDefault="00550231" w:rsidP="000A4288">
            <w:pPr>
              <w:pStyle w:val="BodyTextFirstIndent"/>
              <w:ind w:firstLine="0"/>
              <w:rPr>
                <w:i/>
              </w:rPr>
            </w:pPr>
            <w:r w:rsidRPr="002B1A82">
              <w:rPr>
                <w:rFonts w:ascii="Calibri" w:hAnsi="Calibri"/>
                <w:i/>
                <w:sz w:val="20"/>
              </w:rPr>
              <w:t>Assessing health and safety issues on site</w:t>
            </w:r>
          </w:p>
          <w:p w:rsidR="00550231" w:rsidRDefault="00550231" w:rsidP="000A4288">
            <w:pPr>
              <w:rPr>
                <w:rFonts w:ascii="Calibri" w:hAnsi="Calibri"/>
                <w:i/>
                <w:sz w:val="20"/>
                <w:szCs w:val="20"/>
              </w:rPr>
            </w:pPr>
          </w:p>
          <w:p w:rsidR="00550231" w:rsidRDefault="00550231" w:rsidP="000A4288">
            <w:pPr>
              <w:rPr>
                <w:rFonts w:ascii="Calibri" w:hAnsi="Calibri"/>
                <w:i/>
                <w:sz w:val="20"/>
                <w:szCs w:val="20"/>
              </w:rPr>
            </w:pPr>
          </w:p>
        </w:tc>
        <w:tc>
          <w:tcPr>
            <w:tcW w:w="2241" w:type="dxa"/>
            <w:tcBorders>
              <w:top w:val="single" w:sz="4" w:space="0" w:color="000000"/>
              <w:left w:val="single" w:sz="4" w:space="0" w:color="000000"/>
              <w:bottom w:val="single" w:sz="4" w:space="0" w:color="000000"/>
              <w:right w:val="single" w:sz="4" w:space="0" w:color="000000"/>
            </w:tcBorders>
            <w:hideMark/>
          </w:tcPr>
          <w:p w:rsidR="00550231" w:rsidRDefault="00550231" w:rsidP="000A4288">
            <w:pPr>
              <w:rPr>
                <w:rFonts w:ascii="Calibri" w:hAnsi="Calibri"/>
                <w:i/>
                <w:sz w:val="20"/>
                <w:szCs w:val="20"/>
              </w:rPr>
            </w:pPr>
            <w:r>
              <w:rPr>
                <w:rFonts w:ascii="Calibri" w:hAnsi="Calibri"/>
                <w:i/>
                <w:sz w:val="20"/>
                <w:szCs w:val="20"/>
              </w:rPr>
              <w:t xml:space="preserve">Health &amp; Safety officer </w:t>
            </w:r>
          </w:p>
        </w:tc>
      </w:tr>
      <w:tr w:rsidR="00550231" w:rsidTr="000A4288">
        <w:trPr>
          <w:trHeight w:val="1688"/>
        </w:trPr>
        <w:tc>
          <w:tcPr>
            <w:tcW w:w="2263" w:type="dxa"/>
            <w:tcBorders>
              <w:top w:val="single" w:sz="4" w:space="0" w:color="000000"/>
              <w:left w:val="single" w:sz="4" w:space="0" w:color="000000"/>
              <w:bottom w:val="single" w:sz="4" w:space="0" w:color="000000"/>
              <w:right w:val="single" w:sz="4" w:space="0" w:color="000000"/>
            </w:tcBorders>
          </w:tcPr>
          <w:p w:rsidR="00550231" w:rsidRPr="00033F3C" w:rsidRDefault="00550231" w:rsidP="00550231">
            <w:pPr>
              <w:pStyle w:val="ListParagraph"/>
              <w:numPr>
                <w:ilvl w:val="0"/>
                <w:numId w:val="15"/>
              </w:numPr>
              <w:spacing w:after="120"/>
              <w:ind w:left="164" w:hanging="142"/>
              <w:rPr>
                <w:rFonts w:ascii="Calibri" w:hAnsi="Calibri"/>
                <w:i/>
                <w:sz w:val="20"/>
              </w:rPr>
            </w:pPr>
            <w:r w:rsidRPr="00033F3C">
              <w:rPr>
                <w:rFonts w:ascii="Calibri" w:hAnsi="Calibri"/>
                <w:i/>
                <w:sz w:val="20"/>
              </w:rPr>
              <w:t>Learn how to plan for your own professional development, to manage your time and resources effectively  and to understand the ethical and legal framework that apply to your area of professional practice</w:t>
            </w:r>
          </w:p>
        </w:tc>
        <w:tc>
          <w:tcPr>
            <w:tcW w:w="1459" w:type="dxa"/>
            <w:tcBorders>
              <w:top w:val="single" w:sz="4" w:space="0" w:color="000000"/>
              <w:left w:val="single" w:sz="4" w:space="0" w:color="000000"/>
              <w:bottom w:val="single" w:sz="4" w:space="0" w:color="000000"/>
              <w:right w:val="single" w:sz="4" w:space="0" w:color="000000"/>
            </w:tcBorders>
          </w:tcPr>
          <w:p w:rsidR="00550231" w:rsidRDefault="00550231" w:rsidP="000A4288">
            <w:pPr>
              <w:rPr>
                <w:rFonts w:ascii="Calibri" w:hAnsi="Calibri"/>
                <w:sz w:val="20"/>
              </w:rPr>
            </w:pPr>
            <w:r>
              <w:rPr>
                <w:rFonts w:ascii="Calibri" w:hAnsi="Calibri"/>
                <w:sz w:val="20"/>
              </w:rPr>
              <w:t>CCSAPAJ3</w:t>
            </w:r>
          </w:p>
        </w:tc>
        <w:tc>
          <w:tcPr>
            <w:tcW w:w="2559" w:type="dxa"/>
            <w:tcBorders>
              <w:top w:val="single" w:sz="4" w:space="0" w:color="000000"/>
              <w:left w:val="single" w:sz="4" w:space="0" w:color="000000"/>
              <w:bottom w:val="single" w:sz="4" w:space="0" w:color="000000"/>
              <w:right w:val="single" w:sz="4" w:space="0" w:color="000000"/>
            </w:tcBorders>
          </w:tcPr>
          <w:p w:rsidR="00550231" w:rsidRDefault="00550231" w:rsidP="000A4288">
            <w:pPr>
              <w:rPr>
                <w:rFonts w:ascii="Calibri" w:hAnsi="Calibri"/>
                <w:i/>
                <w:sz w:val="20"/>
              </w:rPr>
            </w:pPr>
            <w:r>
              <w:rPr>
                <w:rFonts w:ascii="Calibri" w:hAnsi="Calibri"/>
                <w:i/>
                <w:sz w:val="20"/>
              </w:rPr>
              <w:t>The trainee will learn how to assess their own level of skill and identify development needs to create a personal development plan and CPD log.</w:t>
            </w:r>
          </w:p>
          <w:p w:rsidR="00550231" w:rsidRDefault="00550231" w:rsidP="000A4288">
            <w:pPr>
              <w:pStyle w:val="BodyTextFirstIndent"/>
              <w:ind w:firstLine="0"/>
              <w:rPr>
                <w:rFonts w:asciiTheme="minorHAnsi" w:hAnsiTheme="minorHAnsi"/>
                <w:i/>
                <w:sz w:val="20"/>
              </w:rPr>
            </w:pPr>
            <w:r w:rsidRPr="00033F3C">
              <w:rPr>
                <w:rFonts w:asciiTheme="minorHAnsi" w:hAnsiTheme="minorHAnsi"/>
                <w:i/>
                <w:sz w:val="20"/>
              </w:rPr>
              <w:t xml:space="preserve">They will learn how to plan their time and make efficient use of </w:t>
            </w:r>
            <w:r>
              <w:rPr>
                <w:rFonts w:asciiTheme="minorHAnsi" w:hAnsiTheme="minorHAnsi"/>
                <w:i/>
                <w:sz w:val="20"/>
              </w:rPr>
              <w:t xml:space="preserve">the </w:t>
            </w:r>
            <w:r w:rsidRPr="00033F3C">
              <w:rPr>
                <w:rFonts w:asciiTheme="minorHAnsi" w:hAnsiTheme="minorHAnsi"/>
                <w:i/>
                <w:sz w:val="20"/>
              </w:rPr>
              <w:t>resources</w:t>
            </w:r>
            <w:r>
              <w:rPr>
                <w:rFonts w:asciiTheme="minorHAnsi" w:hAnsiTheme="minorHAnsi"/>
                <w:i/>
                <w:sz w:val="20"/>
              </w:rPr>
              <w:t xml:space="preserve"> available to them, accessing support from colleagues as necessary and delegating tasks where appropriate.</w:t>
            </w:r>
          </w:p>
          <w:p w:rsidR="00550231" w:rsidRPr="00033F3C" w:rsidRDefault="00550231" w:rsidP="000A4288">
            <w:pPr>
              <w:pStyle w:val="BodyTextFirstIndent"/>
              <w:ind w:firstLine="0"/>
              <w:rPr>
                <w:rFonts w:asciiTheme="minorHAnsi" w:hAnsiTheme="minorHAnsi"/>
                <w:i/>
                <w:sz w:val="20"/>
              </w:rPr>
            </w:pPr>
            <w:r>
              <w:rPr>
                <w:rFonts w:asciiTheme="minorHAnsi" w:hAnsiTheme="minorHAnsi"/>
                <w:i/>
                <w:sz w:val="20"/>
              </w:rPr>
              <w:t>The trainee will develop an understanding of the legal, policy and ethical frameworks governing their role as a professional archaeologist</w:t>
            </w:r>
          </w:p>
        </w:tc>
        <w:tc>
          <w:tcPr>
            <w:tcW w:w="2241" w:type="dxa"/>
            <w:tcBorders>
              <w:top w:val="single" w:sz="4" w:space="0" w:color="000000"/>
              <w:left w:val="single" w:sz="4" w:space="0" w:color="000000"/>
              <w:bottom w:val="single" w:sz="4" w:space="0" w:color="000000"/>
              <w:right w:val="single" w:sz="4" w:space="0" w:color="000000"/>
            </w:tcBorders>
          </w:tcPr>
          <w:p w:rsidR="00550231" w:rsidRDefault="00550231" w:rsidP="000A4288">
            <w:pPr>
              <w:rPr>
                <w:rFonts w:ascii="Calibri" w:hAnsi="Calibri"/>
                <w:sz w:val="20"/>
              </w:rPr>
            </w:pPr>
            <w:r>
              <w:rPr>
                <w:rFonts w:ascii="Calibri" w:hAnsi="Calibri"/>
                <w:sz w:val="20"/>
              </w:rPr>
              <w:t>Senior team members</w:t>
            </w:r>
          </w:p>
        </w:tc>
      </w:tr>
      <w:tr w:rsidR="00550231" w:rsidTr="000A4288">
        <w:trPr>
          <w:trHeight w:val="1688"/>
        </w:trPr>
        <w:tc>
          <w:tcPr>
            <w:tcW w:w="2263" w:type="dxa"/>
            <w:tcBorders>
              <w:top w:val="single" w:sz="4" w:space="0" w:color="000000"/>
              <w:left w:val="single" w:sz="4" w:space="0" w:color="000000"/>
              <w:bottom w:val="single" w:sz="4" w:space="0" w:color="000000"/>
              <w:right w:val="single" w:sz="4" w:space="0" w:color="000000"/>
            </w:tcBorders>
          </w:tcPr>
          <w:p w:rsidR="00550231" w:rsidRDefault="00550231" w:rsidP="000A4288">
            <w:pPr>
              <w:rPr>
                <w:rFonts w:ascii="Calibri" w:hAnsi="Calibri"/>
                <w:sz w:val="20"/>
                <w:szCs w:val="20"/>
              </w:rPr>
            </w:pPr>
            <w:r>
              <w:rPr>
                <w:rFonts w:ascii="Calibri" w:hAnsi="Calibri"/>
                <w:sz w:val="20"/>
              </w:rPr>
              <w:lastRenderedPageBreak/>
              <w:t>4</w:t>
            </w:r>
            <w:r>
              <w:rPr>
                <w:rFonts w:ascii="Calibri" w:hAnsi="Calibri"/>
                <w:sz w:val="20"/>
                <w:szCs w:val="20"/>
              </w:rPr>
              <w:t xml:space="preserve">. </w:t>
            </w:r>
            <w:r w:rsidRPr="002B1A82">
              <w:rPr>
                <w:rFonts w:ascii="Calibri" w:hAnsi="Calibri"/>
                <w:i/>
                <w:sz w:val="20"/>
              </w:rPr>
              <w:t>Contribute to</w:t>
            </w:r>
            <w:r w:rsidRPr="002B1A82">
              <w:rPr>
                <w:rFonts w:ascii="Calibri" w:hAnsi="Calibri"/>
                <w:i/>
                <w:sz w:val="20"/>
                <w:szCs w:val="20"/>
              </w:rPr>
              <w:t xml:space="preserve"> intrusive investigations</w:t>
            </w:r>
          </w:p>
          <w:p w:rsidR="00550231" w:rsidRDefault="00550231" w:rsidP="000A4288">
            <w:pPr>
              <w:rPr>
                <w:rFonts w:ascii="Calibri" w:hAnsi="Calibri"/>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550231" w:rsidRDefault="00550231" w:rsidP="000A4288">
            <w:pPr>
              <w:rPr>
                <w:rFonts w:ascii="Calibri" w:hAnsi="Calibri"/>
                <w:sz w:val="20"/>
                <w:szCs w:val="20"/>
              </w:rPr>
            </w:pPr>
            <w:r>
              <w:rPr>
                <w:rFonts w:ascii="Calibri" w:hAnsi="Calibri"/>
                <w:sz w:val="20"/>
              </w:rPr>
              <w:t>CCSAPAC5</w:t>
            </w:r>
          </w:p>
          <w:p w:rsidR="00550231" w:rsidRDefault="00550231" w:rsidP="000A4288">
            <w:pPr>
              <w:rPr>
                <w:rFonts w:ascii="Calibri" w:hAnsi="Calibri"/>
                <w:sz w:val="20"/>
                <w:szCs w:val="20"/>
              </w:rPr>
            </w:pPr>
          </w:p>
        </w:tc>
        <w:tc>
          <w:tcPr>
            <w:tcW w:w="2559" w:type="dxa"/>
            <w:tcBorders>
              <w:top w:val="single" w:sz="4" w:space="0" w:color="000000"/>
              <w:left w:val="single" w:sz="4" w:space="0" w:color="000000"/>
              <w:bottom w:val="single" w:sz="4" w:space="0" w:color="000000"/>
              <w:right w:val="single" w:sz="4" w:space="0" w:color="000000"/>
            </w:tcBorders>
            <w:hideMark/>
          </w:tcPr>
          <w:p w:rsidR="00550231" w:rsidRPr="002B1A82" w:rsidRDefault="00550231" w:rsidP="000A4288">
            <w:pPr>
              <w:rPr>
                <w:rFonts w:ascii="Calibri" w:hAnsi="Calibri"/>
                <w:i/>
                <w:sz w:val="20"/>
                <w:szCs w:val="20"/>
              </w:rPr>
            </w:pPr>
            <w:r w:rsidRPr="002B1A82">
              <w:rPr>
                <w:rFonts w:ascii="Calibri" w:hAnsi="Calibri"/>
                <w:i/>
                <w:sz w:val="20"/>
                <w:szCs w:val="20"/>
              </w:rPr>
              <w:t>Conduct archaeological site investigations. Record archaeology utilising multiple differing methods.</w:t>
            </w:r>
          </w:p>
          <w:p w:rsidR="00550231" w:rsidRPr="002B1A82" w:rsidRDefault="00550231" w:rsidP="000A4288">
            <w:pPr>
              <w:rPr>
                <w:rFonts w:ascii="Calibri" w:hAnsi="Calibri"/>
                <w:i/>
                <w:sz w:val="20"/>
              </w:rPr>
            </w:pPr>
            <w:r w:rsidRPr="002B1A82">
              <w:rPr>
                <w:rFonts w:ascii="Calibri" w:hAnsi="Calibri"/>
                <w:i/>
                <w:sz w:val="20"/>
                <w:szCs w:val="20"/>
              </w:rPr>
              <w:t>Identify and excavate a wide variety of archaeological features.</w:t>
            </w:r>
          </w:p>
          <w:p w:rsidR="00550231" w:rsidRPr="002B1A82" w:rsidRDefault="00550231" w:rsidP="000A4288">
            <w:pPr>
              <w:pStyle w:val="BodyTextFirstIndent"/>
              <w:ind w:firstLine="0"/>
              <w:rPr>
                <w:i/>
              </w:rPr>
            </w:pPr>
            <w:r w:rsidRPr="002B1A82">
              <w:rPr>
                <w:rFonts w:ascii="Calibri" w:hAnsi="Calibri"/>
                <w:i/>
                <w:sz w:val="20"/>
              </w:rPr>
              <w:t>Learn about a range of site processes, recording and working practices</w:t>
            </w:r>
          </w:p>
        </w:tc>
        <w:tc>
          <w:tcPr>
            <w:tcW w:w="2241" w:type="dxa"/>
            <w:tcBorders>
              <w:top w:val="single" w:sz="4" w:space="0" w:color="000000"/>
              <w:left w:val="single" w:sz="4" w:space="0" w:color="000000"/>
              <w:bottom w:val="single" w:sz="4" w:space="0" w:color="000000"/>
              <w:right w:val="single" w:sz="4" w:space="0" w:color="000000"/>
            </w:tcBorders>
            <w:hideMark/>
          </w:tcPr>
          <w:p w:rsidR="00550231" w:rsidRDefault="00550231" w:rsidP="000A4288">
            <w:pPr>
              <w:rPr>
                <w:rFonts w:ascii="Calibri" w:hAnsi="Calibri"/>
                <w:sz w:val="20"/>
                <w:szCs w:val="20"/>
              </w:rPr>
            </w:pPr>
            <w:r>
              <w:rPr>
                <w:rFonts w:ascii="Calibri" w:hAnsi="Calibri"/>
                <w:sz w:val="20"/>
                <w:szCs w:val="20"/>
              </w:rPr>
              <w:t>Senior team members</w:t>
            </w:r>
          </w:p>
        </w:tc>
      </w:tr>
      <w:tr w:rsidR="00550231" w:rsidTr="000A4288">
        <w:trPr>
          <w:trHeight w:val="1688"/>
        </w:trPr>
        <w:tc>
          <w:tcPr>
            <w:tcW w:w="2263" w:type="dxa"/>
            <w:tcBorders>
              <w:top w:val="single" w:sz="4" w:space="0" w:color="000000"/>
              <w:left w:val="single" w:sz="4" w:space="0" w:color="000000"/>
              <w:bottom w:val="single" w:sz="4" w:space="0" w:color="000000"/>
              <w:right w:val="single" w:sz="4" w:space="0" w:color="000000"/>
            </w:tcBorders>
          </w:tcPr>
          <w:p w:rsidR="00550231" w:rsidRPr="00550231" w:rsidRDefault="00550231" w:rsidP="000A4288">
            <w:pPr>
              <w:rPr>
                <w:rFonts w:ascii="Calibri" w:hAnsi="Calibri"/>
                <w:i/>
                <w:sz w:val="20"/>
                <w:szCs w:val="20"/>
              </w:rPr>
            </w:pPr>
            <w:bookmarkStart w:id="0" w:name="_GoBack" w:colFirst="0" w:colLast="0"/>
            <w:r w:rsidRPr="00550231">
              <w:rPr>
                <w:rFonts w:ascii="Calibri" w:hAnsi="Calibri"/>
                <w:i/>
                <w:sz w:val="20"/>
              </w:rPr>
              <w:t>5</w:t>
            </w:r>
            <w:r w:rsidRPr="00550231">
              <w:rPr>
                <w:rFonts w:ascii="Calibri" w:hAnsi="Calibri"/>
                <w:i/>
                <w:sz w:val="20"/>
                <w:szCs w:val="20"/>
              </w:rPr>
              <w:t xml:space="preserve">. Contribute to </w:t>
            </w:r>
            <w:r w:rsidRPr="00550231">
              <w:rPr>
                <w:rFonts w:ascii="Calibri" w:hAnsi="Calibri"/>
                <w:i/>
                <w:sz w:val="20"/>
              </w:rPr>
              <w:t>non-</w:t>
            </w:r>
            <w:r w:rsidRPr="00550231">
              <w:rPr>
                <w:rFonts w:ascii="Calibri" w:hAnsi="Calibri"/>
                <w:i/>
                <w:sz w:val="20"/>
                <w:szCs w:val="20"/>
              </w:rPr>
              <w:t xml:space="preserve">intrusive </w:t>
            </w:r>
            <w:r w:rsidRPr="00550231">
              <w:rPr>
                <w:rFonts w:ascii="Calibri" w:hAnsi="Calibri"/>
                <w:i/>
                <w:sz w:val="20"/>
              </w:rPr>
              <w:t>investigations</w:t>
            </w:r>
          </w:p>
          <w:p w:rsidR="00550231" w:rsidRPr="00550231" w:rsidRDefault="00550231" w:rsidP="000A4288">
            <w:pPr>
              <w:rPr>
                <w:rFonts w:ascii="Calibri" w:hAnsi="Calibri"/>
                <w:i/>
                <w:sz w:val="20"/>
                <w:szCs w:val="20"/>
              </w:rPr>
            </w:pPr>
          </w:p>
        </w:tc>
        <w:tc>
          <w:tcPr>
            <w:tcW w:w="1459" w:type="dxa"/>
            <w:tcBorders>
              <w:top w:val="single" w:sz="4" w:space="0" w:color="000000"/>
              <w:left w:val="single" w:sz="4" w:space="0" w:color="000000"/>
              <w:bottom w:val="single" w:sz="4" w:space="0" w:color="000000"/>
              <w:right w:val="single" w:sz="4" w:space="0" w:color="000000"/>
            </w:tcBorders>
            <w:hideMark/>
          </w:tcPr>
          <w:p w:rsidR="00550231" w:rsidRDefault="00550231" w:rsidP="000A4288">
            <w:pPr>
              <w:rPr>
                <w:rFonts w:ascii="Calibri" w:hAnsi="Calibri"/>
                <w:sz w:val="20"/>
                <w:szCs w:val="20"/>
              </w:rPr>
            </w:pPr>
            <w:r>
              <w:rPr>
                <w:rFonts w:ascii="Calibri" w:hAnsi="Calibri"/>
                <w:sz w:val="20"/>
              </w:rPr>
              <w:t>CCSAPAC3</w:t>
            </w:r>
            <w:r>
              <w:rPr>
                <w:rFonts w:ascii="Calibri" w:hAnsi="Calibri"/>
                <w:sz w:val="20"/>
                <w:szCs w:val="20"/>
              </w:rPr>
              <w:t xml:space="preserve"> </w:t>
            </w:r>
          </w:p>
        </w:tc>
        <w:tc>
          <w:tcPr>
            <w:tcW w:w="2559" w:type="dxa"/>
            <w:tcBorders>
              <w:top w:val="single" w:sz="4" w:space="0" w:color="000000"/>
              <w:left w:val="single" w:sz="4" w:space="0" w:color="000000"/>
              <w:bottom w:val="single" w:sz="4" w:space="0" w:color="000000"/>
              <w:right w:val="single" w:sz="4" w:space="0" w:color="000000"/>
            </w:tcBorders>
            <w:hideMark/>
          </w:tcPr>
          <w:p w:rsidR="00550231" w:rsidRPr="002B1A82" w:rsidRDefault="00550231" w:rsidP="000A4288">
            <w:pPr>
              <w:rPr>
                <w:rFonts w:ascii="Calibri" w:hAnsi="Calibri"/>
                <w:i/>
                <w:sz w:val="20"/>
              </w:rPr>
            </w:pPr>
            <w:r w:rsidRPr="002B1A82">
              <w:rPr>
                <w:rFonts w:ascii="Calibri" w:hAnsi="Calibri"/>
                <w:i/>
                <w:sz w:val="20"/>
              </w:rPr>
              <w:t xml:space="preserve">Assist with site survey work, geophysical survey, topographic survey as appropriate. Understand different techniques and recoding methods. </w:t>
            </w:r>
          </w:p>
          <w:p w:rsidR="00550231" w:rsidRDefault="00550231" w:rsidP="000A4288">
            <w:pPr>
              <w:rPr>
                <w:rFonts w:ascii="Calibri" w:hAnsi="Calibri"/>
                <w:sz w:val="20"/>
                <w:szCs w:val="20"/>
              </w:rPr>
            </w:pPr>
            <w:r w:rsidRPr="002B1A82">
              <w:rPr>
                <w:rFonts w:ascii="Calibri" w:hAnsi="Calibri"/>
                <w:i/>
                <w:sz w:val="20"/>
              </w:rPr>
              <w:t>Understand how non-intrusive survey contributes to the wider project</w:t>
            </w:r>
          </w:p>
        </w:tc>
        <w:tc>
          <w:tcPr>
            <w:tcW w:w="2241" w:type="dxa"/>
            <w:tcBorders>
              <w:top w:val="single" w:sz="4" w:space="0" w:color="000000"/>
              <w:left w:val="single" w:sz="4" w:space="0" w:color="000000"/>
              <w:bottom w:val="single" w:sz="4" w:space="0" w:color="000000"/>
              <w:right w:val="single" w:sz="4" w:space="0" w:color="000000"/>
            </w:tcBorders>
            <w:hideMark/>
          </w:tcPr>
          <w:p w:rsidR="00550231" w:rsidRDefault="00550231" w:rsidP="000A4288">
            <w:pPr>
              <w:ind w:left="720"/>
              <w:rPr>
                <w:rFonts w:ascii="Calibri" w:hAnsi="Calibri"/>
                <w:sz w:val="20"/>
                <w:szCs w:val="20"/>
              </w:rPr>
            </w:pPr>
            <w:r>
              <w:rPr>
                <w:rFonts w:ascii="Calibri" w:hAnsi="Calibri"/>
                <w:sz w:val="20"/>
                <w:szCs w:val="20"/>
              </w:rPr>
              <w:t>Senior team members</w:t>
            </w:r>
          </w:p>
        </w:tc>
      </w:tr>
      <w:bookmarkEnd w:id="0"/>
    </w:tbl>
    <w:p w:rsidR="00550231" w:rsidRPr="00416BE2" w:rsidRDefault="00550231" w:rsidP="00550231">
      <w:pPr>
        <w:pStyle w:val="BodyTextFirstIndent"/>
      </w:pPr>
    </w:p>
    <w:p w:rsidR="00550231" w:rsidRPr="00550231" w:rsidRDefault="00550231" w:rsidP="00550231">
      <w:pPr>
        <w:pStyle w:val="ListParagraph"/>
        <w:rPr>
          <w:rFonts w:asciiTheme="minorHAnsi" w:hAnsiTheme="minorHAnsi"/>
          <w:b/>
        </w:rPr>
      </w:pPr>
    </w:p>
    <w:p w:rsidR="009D65DF" w:rsidRDefault="009D65DF" w:rsidP="009D65DF"/>
    <w:p w:rsidR="009D65DF" w:rsidRDefault="009D65DF" w:rsidP="009D65DF">
      <w:r>
        <w:t xml:space="preserve">For more information, or to discuss a potential training position, please contact </w:t>
      </w:r>
      <w:hyperlink r:id="rId15" w:history="1">
        <w:r w:rsidR="006000A8" w:rsidRPr="00FA2724">
          <w:rPr>
            <w:rStyle w:val="Hyperlink"/>
          </w:rPr>
          <w:t>anna.welch@archaeologists.net</w:t>
        </w:r>
      </w:hyperlink>
      <w:r w:rsidR="006000A8">
        <w:t xml:space="preserve">. </w:t>
      </w:r>
    </w:p>
    <w:p w:rsidR="00E445AA" w:rsidRPr="009D65DF" w:rsidRDefault="00E445AA" w:rsidP="009D65DF">
      <w:r>
        <w:t xml:space="preserve">Further information and guidance for trainees can be found at </w:t>
      </w:r>
      <w:hyperlink r:id="rId16" w:history="1">
        <w:r w:rsidRPr="00FA2724">
          <w:rPr>
            <w:rStyle w:val="Hyperlink"/>
          </w:rPr>
          <w:t>http://www.archaeologists.net/Gettingstarted</w:t>
        </w:r>
      </w:hyperlink>
      <w:r>
        <w:t xml:space="preserve">. </w:t>
      </w:r>
    </w:p>
    <w:p w:rsidR="006C722A" w:rsidRDefault="006C722A" w:rsidP="006C722A"/>
    <w:sectPr w:rsidR="006C72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2A" w:rsidRDefault="006C722A" w:rsidP="006C722A">
      <w:pPr>
        <w:spacing w:after="0" w:line="240" w:lineRule="auto"/>
      </w:pPr>
      <w:r>
        <w:separator/>
      </w:r>
    </w:p>
  </w:endnote>
  <w:endnote w:type="continuationSeparator" w:id="0">
    <w:p w:rsidR="006C722A" w:rsidRDefault="006C722A" w:rsidP="006C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2A" w:rsidRDefault="006C722A" w:rsidP="006C722A">
      <w:pPr>
        <w:spacing w:after="0" w:line="240" w:lineRule="auto"/>
      </w:pPr>
      <w:r>
        <w:separator/>
      </w:r>
    </w:p>
  </w:footnote>
  <w:footnote w:type="continuationSeparator" w:id="0">
    <w:p w:rsidR="006C722A" w:rsidRDefault="006C722A" w:rsidP="006C7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86F"/>
    <w:multiLevelType w:val="hybridMultilevel"/>
    <w:tmpl w:val="0FF8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660C"/>
    <w:multiLevelType w:val="hybridMultilevel"/>
    <w:tmpl w:val="A076767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7A3CC1"/>
    <w:multiLevelType w:val="hybridMultilevel"/>
    <w:tmpl w:val="D25CAB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CE21951"/>
    <w:multiLevelType w:val="hybridMultilevel"/>
    <w:tmpl w:val="791A4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C648B1"/>
    <w:multiLevelType w:val="hybridMultilevel"/>
    <w:tmpl w:val="C23056B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055C74"/>
    <w:multiLevelType w:val="hybridMultilevel"/>
    <w:tmpl w:val="269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1671C"/>
    <w:multiLevelType w:val="hybridMultilevel"/>
    <w:tmpl w:val="4BB01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266F8"/>
    <w:multiLevelType w:val="hybridMultilevel"/>
    <w:tmpl w:val="9906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AE2261"/>
    <w:multiLevelType w:val="hybridMultilevel"/>
    <w:tmpl w:val="2C7E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F54FE"/>
    <w:multiLevelType w:val="hybridMultilevel"/>
    <w:tmpl w:val="E2906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C22E6"/>
    <w:multiLevelType w:val="hybridMultilevel"/>
    <w:tmpl w:val="1CCC3BD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5E5146"/>
    <w:multiLevelType w:val="hybridMultilevel"/>
    <w:tmpl w:val="4380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C0354"/>
    <w:multiLevelType w:val="hybridMultilevel"/>
    <w:tmpl w:val="B2563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7"/>
  </w:num>
  <w:num w:numId="5">
    <w:abstractNumId w:val="3"/>
  </w:num>
  <w:num w:numId="6">
    <w:abstractNumId w:val="10"/>
  </w:num>
  <w:num w:numId="7">
    <w:abstractNumId w:val="1"/>
  </w:num>
  <w:num w:numId="8">
    <w:abstractNumId w:val="4"/>
  </w:num>
  <w:num w:numId="9">
    <w:abstractNumId w:val="12"/>
  </w:num>
  <w:num w:numId="10">
    <w:abstractNumId w:val="9"/>
  </w:num>
  <w:num w:numId="11">
    <w:abstractNumId w:val="0"/>
  </w:num>
  <w:num w:numId="12">
    <w:abstractNumId w:val="11"/>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A9"/>
    <w:rsid w:val="00100721"/>
    <w:rsid w:val="001657EF"/>
    <w:rsid w:val="00170033"/>
    <w:rsid w:val="002A45B1"/>
    <w:rsid w:val="00470EC5"/>
    <w:rsid w:val="00487779"/>
    <w:rsid w:val="0053553B"/>
    <w:rsid w:val="00550231"/>
    <w:rsid w:val="006000A8"/>
    <w:rsid w:val="006C722A"/>
    <w:rsid w:val="007B1A79"/>
    <w:rsid w:val="007B4F51"/>
    <w:rsid w:val="008837EB"/>
    <w:rsid w:val="008F23E4"/>
    <w:rsid w:val="009D0DA9"/>
    <w:rsid w:val="009D65DF"/>
    <w:rsid w:val="00A279C0"/>
    <w:rsid w:val="00A93040"/>
    <w:rsid w:val="00BD611F"/>
    <w:rsid w:val="00DF08A9"/>
    <w:rsid w:val="00E445AA"/>
    <w:rsid w:val="00FD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897A"/>
  <w15:docId w15:val="{09EA1AC8-EFC1-460E-8A2B-478ABE6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A9"/>
    <w:pPr>
      <w:spacing w:after="0" w:line="240" w:lineRule="auto"/>
      <w:ind w:left="720"/>
      <w:contextualSpacing/>
    </w:pPr>
    <w:rPr>
      <w:rFonts w:ascii="Arial" w:eastAsia="Times New Roman" w:hAnsi="Arial" w:cs="Times New Roman"/>
      <w:lang w:eastAsia="en-GB"/>
    </w:rPr>
  </w:style>
  <w:style w:type="table" w:styleId="TableGrid">
    <w:name w:val="Table Grid"/>
    <w:basedOn w:val="TableNormal"/>
    <w:uiPriority w:val="59"/>
    <w:rsid w:val="0017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C722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C722A"/>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6C722A"/>
    <w:rPr>
      <w:vertAlign w:val="superscript"/>
    </w:rPr>
  </w:style>
  <w:style w:type="paragraph" w:customStyle="1" w:styleId="Default">
    <w:name w:val="Default"/>
    <w:rsid w:val="00DF08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00721"/>
    <w:rPr>
      <w:color w:val="0000FF" w:themeColor="hyperlink"/>
      <w:u w:val="single"/>
    </w:rPr>
  </w:style>
  <w:style w:type="character" w:styleId="FollowedHyperlink">
    <w:name w:val="FollowedHyperlink"/>
    <w:basedOn w:val="DefaultParagraphFont"/>
    <w:uiPriority w:val="99"/>
    <w:semiHidden/>
    <w:unhideWhenUsed/>
    <w:rsid w:val="00550231"/>
    <w:rPr>
      <w:color w:val="800080" w:themeColor="followedHyperlink"/>
      <w:u w:val="single"/>
    </w:rPr>
  </w:style>
  <w:style w:type="paragraph" w:styleId="BodyText">
    <w:name w:val="Body Text"/>
    <w:basedOn w:val="Normal"/>
    <w:link w:val="BodyTextChar"/>
    <w:uiPriority w:val="99"/>
    <w:semiHidden/>
    <w:unhideWhenUsed/>
    <w:rsid w:val="00550231"/>
    <w:pPr>
      <w:spacing w:after="120"/>
    </w:pPr>
  </w:style>
  <w:style w:type="character" w:customStyle="1" w:styleId="BodyTextChar">
    <w:name w:val="Body Text Char"/>
    <w:basedOn w:val="DefaultParagraphFont"/>
    <w:link w:val="BodyText"/>
    <w:uiPriority w:val="99"/>
    <w:semiHidden/>
    <w:rsid w:val="00550231"/>
  </w:style>
  <w:style w:type="paragraph" w:styleId="BodyTextFirstIndent">
    <w:name w:val="Body Text First Indent"/>
    <w:basedOn w:val="BodyText"/>
    <w:link w:val="BodyTextFirstIndentChar"/>
    <w:semiHidden/>
    <w:unhideWhenUsed/>
    <w:rsid w:val="00550231"/>
    <w:pPr>
      <w:spacing w:line="240" w:lineRule="auto"/>
      <w:ind w:firstLine="360"/>
    </w:pPr>
    <w:rPr>
      <w:rFonts w:ascii="Times New Roman" w:eastAsia="Times New Roman" w:hAnsi="Times New Roman" w:cs="Times New Roman"/>
      <w:sz w:val="24"/>
      <w:szCs w:val="20"/>
    </w:rPr>
  </w:style>
  <w:style w:type="character" w:customStyle="1" w:styleId="BodyTextFirstIndentChar">
    <w:name w:val="Body Text First Indent Char"/>
    <w:basedOn w:val="BodyTextChar"/>
    <w:link w:val="BodyTextFirstIndent"/>
    <w:semiHidden/>
    <w:rsid w:val="0055023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8844">
      <w:bodyDiv w:val="1"/>
      <w:marLeft w:val="0"/>
      <w:marRight w:val="0"/>
      <w:marTop w:val="0"/>
      <w:marBottom w:val="0"/>
      <w:divBdr>
        <w:top w:val="none" w:sz="0" w:space="0" w:color="auto"/>
        <w:left w:val="none" w:sz="0" w:space="0" w:color="auto"/>
        <w:bottom w:val="none" w:sz="0" w:space="0" w:color="auto"/>
        <w:right w:val="none" w:sz="0" w:space="0" w:color="auto"/>
      </w:divBdr>
    </w:div>
    <w:div w:id="10619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tandards.org.uk/PublishedNos/CCSAPAC1.pdf" TargetMode="External"/><Relationship Id="rId13" Type="http://schemas.openxmlformats.org/officeDocument/2006/relationships/hyperlink" Target="http://www.archaeologists.net/sites/default/files/2014.PPP_.Training-toolkit-web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kstandards.org.uk/PublishedNos/CCSAPAC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chaeologists.net/Gettingstar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standards.org.uk/PublishedNos/CCSAPAC3.pdf" TargetMode="External"/><Relationship Id="rId5" Type="http://schemas.openxmlformats.org/officeDocument/2006/relationships/footnotes" Target="footnotes.xml"/><Relationship Id="rId15" Type="http://schemas.openxmlformats.org/officeDocument/2006/relationships/hyperlink" Target="mailto:anna.welch@archaeologists.net" TargetMode="External"/><Relationship Id="rId10" Type="http://schemas.openxmlformats.org/officeDocument/2006/relationships/hyperlink" Target="http://www.ukstandards.org.uk/PublishedNos/CCSAPAJ3.pdf" TargetMode="External"/><Relationship Id="rId4" Type="http://schemas.openxmlformats.org/officeDocument/2006/relationships/webSettings" Target="webSettings.xml"/><Relationship Id="rId9" Type="http://schemas.openxmlformats.org/officeDocument/2006/relationships/hyperlink" Target="http://www.ukstandards.org.uk/PublishedNos/CCSAPAH10.pdf" TargetMode="External"/><Relationship Id="rId14" Type="http://schemas.openxmlformats.org/officeDocument/2006/relationships/hyperlink" Target="http://www.archaeologists.net/trai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Kate Geary</cp:lastModifiedBy>
  <cp:revision>7</cp:revision>
  <dcterms:created xsi:type="dcterms:W3CDTF">2017-03-20T16:59:00Z</dcterms:created>
  <dcterms:modified xsi:type="dcterms:W3CDTF">2017-04-05T12:25:00Z</dcterms:modified>
</cp:coreProperties>
</file>