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36" w:rsidRPr="008877C2" w:rsidRDefault="00BC0B36" w:rsidP="00BC0B36">
      <w:pPr>
        <w:spacing w:line="360" w:lineRule="auto"/>
        <w:rPr>
          <w:rFonts w:ascii="Cambria" w:hAnsi="Cambria"/>
        </w:rPr>
      </w:pPr>
      <w:r w:rsidRPr="008877C2">
        <w:rPr>
          <w:rFonts w:ascii="Cambria" w:hAnsi="Cambria"/>
          <w:noProof/>
          <w:lang w:val="en-US"/>
        </w:rPr>
        <w:drawing>
          <wp:inline distT="0" distB="0" distL="0" distR="0">
            <wp:extent cx="3152775" cy="9884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77C2">
        <w:rPr>
          <w:rFonts w:ascii="Cambria" w:hAnsi="Cambria"/>
          <w:noProof/>
          <w:lang w:eastAsia="en-GB"/>
        </w:rPr>
        <w:t xml:space="preserve"> </w:t>
      </w:r>
      <w:r w:rsidRPr="008877C2">
        <w:rPr>
          <w:rFonts w:ascii="Cambria" w:hAnsi="Cambria"/>
          <w:noProof/>
          <w:lang w:val="en-US"/>
        </w:rPr>
        <w:drawing>
          <wp:inline distT="0" distB="0" distL="0" distR="0">
            <wp:extent cx="2190750" cy="899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914" w:rsidRPr="00BC0B36" w:rsidRDefault="00BC0B36">
      <w:pPr>
        <w:rPr>
          <w:rFonts w:ascii="Arial" w:hAnsi="Arial" w:cs="Arial"/>
          <w:b/>
        </w:rPr>
      </w:pPr>
      <w:proofErr w:type="spellStart"/>
      <w:r w:rsidRPr="00BC0B36">
        <w:rPr>
          <w:rFonts w:ascii="Arial" w:hAnsi="Arial" w:cs="Arial"/>
          <w:b/>
        </w:rPr>
        <w:t>CIfA</w:t>
      </w:r>
      <w:proofErr w:type="spellEnd"/>
      <w:r w:rsidRPr="00BC0B36">
        <w:rPr>
          <w:rFonts w:ascii="Arial" w:hAnsi="Arial" w:cs="Arial"/>
          <w:b/>
        </w:rPr>
        <w:t xml:space="preserve">/UAUK Joint Accreditation- </w:t>
      </w:r>
      <w:r>
        <w:rPr>
          <w:rFonts w:ascii="Arial" w:hAnsi="Arial" w:cs="Arial"/>
          <w:b/>
        </w:rPr>
        <w:t>Frequently Asked Q</w:t>
      </w:r>
      <w:r w:rsidRPr="00BC0B36">
        <w:rPr>
          <w:rFonts w:ascii="Arial" w:hAnsi="Arial" w:cs="Arial"/>
          <w:b/>
        </w:rPr>
        <w:t>uestions</w:t>
      </w:r>
    </w:p>
    <w:p w:rsidR="00BC0B36" w:rsidRPr="00FF15A5" w:rsidRDefault="005B7E57" w:rsidP="005B7E57">
      <w:pPr>
        <w:rPr>
          <w:rFonts w:cstheme="minorHAnsi"/>
          <w:b/>
          <w:i/>
        </w:rPr>
      </w:pPr>
      <w:r w:rsidRPr="00FF15A5">
        <w:rPr>
          <w:rFonts w:cstheme="minorHAnsi"/>
          <w:b/>
          <w:i/>
        </w:rPr>
        <w:t xml:space="preserve">What is </w:t>
      </w:r>
      <w:proofErr w:type="spellStart"/>
      <w:r w:rsidRPr="00FF15A5">
        <w:rPr>
          <w:rFonts w:cstheme="minorHAnsi"/>
          <w:b/>
          <w:i/>
        </w:rPr>
        <w:t>CiFA</w:t>
      </w:r>
      <w:proofErr w:type="spellEnd"/>
      <w:r w:rsidRPr="00FF15A5">
        <w:rPr>
          <w:rFonts w:cstheme="minorHAnsi"/>
          <w:b/>
          <w:i/>
        </w:rPr>
        <w:t>?</w:t>
      </w:r>
      <w:bookmarkStart w:id="0" w:name="_GoBack"/>
      <w:bookmarkEnd w:id="0"/>
    </w:p>
    <w:p w:rsidR="005B7E57" w:rsidRDefault="005B7E57" w:rsidP="00FF15A5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Chartered Institute for Archaeologists, or </w:t>
      </w:r>
      <w:proofErr w:type="spellStart"/>
      <w:r>
        <w:rPr>
          <w:rFonts w:asciiTheme="minorHAnsi" w:hAnsiTheme="minorHAnsi" w:cstheme="minorHAnsi"/>
          <w:sz w:val="22"/>
          <w:szCs w:val="22"/>
        </w:rPr>
        <w:t>CIfA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F15A5">
        <w:rPr>
          <w:rFonts w:asciiTheme="minorHAnsi" w:hAnsiTheme="minorHAnsi" w:cstheme="minorHAnsi"/>
          <w:sz w:val="22"/>
          <w:szCs w:val="22"/>
        </w:rPr>
        <w:t>is the leading professional body representing archaeologists working in the UK and overseas.</w:t>
      </w:r>
      <w:r w:rsidRPr="005B7E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E57">
        <w:rPr>
          <w:rFonts w:asciiTheme="minorHAnsi" w:hAnsiTheme="minorHAnsi" w:cstheme="minorHAnsi"/>
          <w:sz w:val="22"/>
          <w:szCs w:val="22"/>
        </w:rPr>
        <w:t>CIfA</w:t>
      </w:r>
      <w:proofErr w:type="spellEnd"/>
      <w:r w:rsidRPr="005B7E57">
        <w:rPr>
          <w:rFonts w:asciiTheme="minorHAnsi" w:hAnsiTheme="minorHAnsi" w:cstheme="minorHAnsi"/>
          <w:sz w:val="22"/>
          <w:szCs w:val="22"/>
        </w:rPr>
        <w:t xml:space="preserve"> champions professionalism in</w:t>
      </w:r>
      <w:r w:rsidR="00FD5891">
        <w:rPr>
          <w:rFonts w:asciiTheme="minorHAnsi" w:hAnsiTheme="minorHAnsi" w:cstheme="minorHAnsi"/>
          <w:sz w:val="22"/>
          <w:szCs w:val="22"/>
        </w:rPr>
        <w:t xml:space="preserve"> archaeology </w:t>
      </w:r>
      <w:r w:rsidRPr="005B7E57">
        <w:rPr>
          <w:rFonts w:asciiTheme="minorHAnsi" w:hAnsiTheme="minorHAnsi" w:cstheme="minorHAnsi"/>
          <w:sz w:val="22"/>
          <w:szCs w:val="22"/>
        </w:rPr>
        <w:t>by setting standards, improving careers and promoting best practice.</w:t>
      </w:r>
      <w:r>
        <w:rPr>
          <w:rFonts w:asciiTheme="minorHAnsi" w:hAnsiTheme="minorHAnsi" w:cstheme="minorHAnsi"/>
          <w:sz w:val="22"/>
          <w:szCs w:val="22"/>
        </w:rPr>
        <w:t xml:space="preserve"> For more information see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CiFA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website:</w:t>
      </w:r>
      <w:r w:rsidRPr="005B7E57">
        <w:t xml:space="preserve"> </w:t>
      </w:r>
      <w:r w:rsidRPr="005B7E57">
        <w:rPr>
          <w:rFonts w:asciiTheme="minorHAnsi" w:hAnsiTheme="minorHAnsi" w:cstheme="minorHAnsi"/>
          <w:sz w:val="22"/>
          <w:szCs w:val="22"/>
        </w:rPr>
        <w:t>http://www.archaeologists.net/</w:t>
      </w:r>
    </w:p>
    <w:p w:rsidR="005B7E57" w:rsidRDefault="005B7E57" w:rsidP="005B7E57">
      <w:pPr>
        <w:pStyle w:val="NormalWeb"/>
        <w:rPr>
          <w:rFonts w:asciiTheme="minorHAnsi" w:hAnsiTheme="minorHAnsi" w:cstheme="minorHAnsi"/>
          <w:b/>
          <w:i/>
          <w:sz w:val="22"/>
          <w:szCs w:val="22"/>
        </w:rPr>
      </w:pPr>
      <w:r w:rsidRPr="00FF15A5">
        <w:rPr>
          <w:rFonts w:asciiTheme="minorHAnsi" w:hAnsiTheme="minorHAnsi" w:cstheme="minorHAnsi"/>
          <w:b/>
          <w:i/>
          <w:sz w:val="22"/>
          <w:szCs w:val="22"/>
        </w:rPr>
        <w:t>What is UAUK?</w:t>
      </w:r>
    </w:p>
    <w:p w:rsidR="00FD5891" w:rsidRDefault="005B7E57" w:rsidP="00FF15A5">
      <w:pPr>
        <w:pStyle w:val="Heading3"/>
        <w:spacing w:line="276" w:lineRule="auto"/>
        <w:rPr>
          <w:sz w:val="23"/>
          <w:szCs w:val="23"/>
        </w:rPr>
      </w:pPr>
      <w:r w:rsidRPr="00FF15A5">
        <w:rPr>
          <w:rFonts w:asciiTheme="minorHAnsi" w:hAnsiTheme="minorHAnsi" w:cstheme="minorHAnsi"/>
          <w:b w:val="0"/>
          <w:sz w:val="22"/>
          <w:szCs w:val="22"/>
        </w:rPr>
        <w:t>Universities Archaeology UK, or UAUK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F15A5">
        <w:rPr>
          <w:rFonts w:asciiTheme="minorHAnsi" w:hAnsiTheme="minorHAnsi" w:cstheme="minorHAnsi"/>
          <w:b w:val="0"/>
          <w:sz w:val="22"/>
          <w:szCs w:val="22"/>
        </w:rPr>
        <w:t>represents the departments of Archaeology in UK universities</w:t>
      </w:r>
      <w:r w:rsidR="00FD5891">
        <w:rPr>
          <w:rFonts w:asciiTheme="minorHAnsi" w:hAnsiTheme="minorHAnsi" w:cstheme="minorHAnsi"/>
          <w:b w:val="0"/>
          <w:sz w:val="22"/>
          <w:szCs w:val="22"/>
        </w:rPr>
        <w:t xml:space="preserve">. Its members include most of the </w:t>
      </w:r>
      <w:r w:rsidR="004B4603">
        <w:rPr>
          <w:rFonts w:asciiTheme="minorHAnsi" w:hAnsiTheme="minorHAnsi" w:cstheme="minorHAnsi"/>
          <w:b w:val="0"/>
          <w:sz w:val="22"/>
          <w:szCs w:val="22"/>
        </w:rPr>
        <w:t>institutions</w:t>
      </w:r>
      <w:r w:rsidR="00FD589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5891" w:rsidRPr="00FF15A5">
        <w:rPr>
          <w:rStyle w:val="color26"/>
          <w:rFonts w:asciiTheme="minorHAnsi" w:hAnsiTheme="minorHAnsi" w:cstheme="minorHAnsi"/>
          <w:b w:val="0"/>
          <w:sz w:val="22"/>
          <w:szCs w:val="22"/>
        </w:rPr>
        <w:t>offer</w:t>
      </w:r>
      <w:r w:rsidR="004B4603">
        <w:rPr>
          <w:rStyle w:val="color26"/>
          <w:rFonts w:asciiTheme="minorHAnsi" w:hAnsiTheme="minorHAnsi" w:cstheme="minorHAnsi"/>
          <w:b w:val="0"/>
          <w:sz w:val="22"/>
          <w:szCs w:val="22"/>
        </w:rPr>
        <w:t>ing</w:t>
      </w:r>
      <w:r w:rsidR="00FD5891" w:rsidRPr="00FF15A5">
        <w:rPr>
          <w:rStyle w:val="color26"/>
          <w:rFonts w:asciiTheme="minorHAnsi" w:hAnsiTheme="minorHAnsi" w:cstheme="minorHAnsi"/>
          <w:b w:val="0"/>
          <w:sz w:val="22"/>
          <w:szCs w:val="22"/>
        </w:rPr>
        <w:t xml:space="preserve"> single or joint honours Higher Education courses in archaeology in the UK.</w:t>
      </w:r>
      <w:r w:rsidR="004B4603" w:rsidRPr="004B4603">
        <w:rPr>
          <w:rFonts w:asciiTheme="minorHAnsi" w:hAnsiTheme="minorHAnsi" w:cstheme="minorHAnsi"/>
          <w:sz w:val="22"/>
          <w:szCs w:val="22"/>
        </w:rPr>
        <w:t xml:space="preserve"> </w:t>
      </w:r>
      <w:r w:rsidR="004B4603" w:rsidRPr="00FF15A5">
        <w:rPr>
          <w:rFonts w:asciiTheme="minorHAnsi" w:hAnsiTheme="minorHAnsi" w:cstheme="minorHAnsi"/>
          <w:b w:val="0"/>
          <w:sz w:val="22"/>
          <w:szCs w:val="22"/>
        </w:rPr>
        <w:t>For more information see the UAUK website: http://www.universityarchaeology.co.uk/</w:t>
      </w:r>
    </w:p>
    <w:p w:rsidR="00BC0B36" w:rsidRPr="00BC0B36" w:rsidRDefault="00BC0B36" w:rsidP="00BC0B36">
      <w:pPr>
        <w:jc w:val="both"/>
        <w:rPr>
          <w:b/>
          <w:i/>
        </w:rPr>
      </w:pPr>
      <w:r w:rsidRPr="00BC0B36">
        <w:rPr>
          <w:b/>
          <w:i/>
        </w:rPr>
        <w:t>What is accreditation?</w:t>
      </w:r>
    </w:p>
    <w:p w:rsidR="00330C9A" w:rsidRDefault="00330C9A" w:rsidP="00BC0B36">
      <w:pPr>
        <w:jc w:val="both"/>
      </w:pPr>
      <w:r>
        <w:t xml:space="preserve">Before embarking on this process, it is important to understand the role of accreditation outside the world of archaeology. </w:t>
      </w:r>
      <w:proofErr w:type="gramStart"/>
      <w:r w:rsidR="00BC0B36" w:rsidRPr="00BC0B36">
        <w:t>Professional accreditation in the UK is normally provided by the lead professional body within the discipline, e.g. Institute for Historic Building Conservation (IHBC)</w:t>
      </w:r>
      <w:r w:rsidR="00BC0B36" w:rsidRPr="00BC0B36">
        <w:rPr>
          <w:vertAlign w:val="superscript"/>
        </w:rPr>
        <w:footnoteReference w:id="1"/>
      </w:r>
      <w:r w:rsidR="00BC0B36" w:rsidRPr="00BC0B36">
        <w:t>, Chartered Society of Forensic Sciences (CSFS)</w:t>
      </w:r>
      <w:r w:rsidR="00BC0B36" w:rsidRPr="00BC0B36">
        <w:rPr>
          <w:vertAlign w:val="superscript"/>
        </w:rPr>
        <w:footnoteReference w:id="2"/>
      </w:r>
      <w:r w:rsidR="00BC0B36" w:rsidRPr="00BC0B36">
        <w:t>, Royal Institute of British Architects</w:t>
      </w:r>
      <w:r w:rsidR="00BC0B36" w:rsidRPr="00BC0B36">
        <w:rPr>
          <w:vertAlign w:val="superscript"/>
        </w:rPr>
        <w:footnoteReference w:id="3"/>
      </w:r>
      <w:r w:rsidR="00BC0B36" w:rsidRPr="00BC0B36">
        <w:t xml:space="preserve">, </w:t>
      </w:r>
      <w:r>
        <w:t xml:space="preserve">or the </w:t>
      </w:r>
      <w:r w:rsidR="00BC0B36" w:rsidRPr="00BC0B36">
        <w:t>Royal Society of Chemistry</w:t>
      </w:r>
      <w:proofErr w:type="gramEnd"/>
      <w:r w:rsidR="00BC0B36" w:rsidRPr="00BC0B36">
        <w:rPr>
          <w:vertAlign w:val="superscript"/>
        </w:rPr>
        <w:footnoteReference w:id="4"/>
      </w:r>
      <w:r w:rsidR="00BC0B36" w:rsidRPr="00BC0B36">
        <w:t xml:space="preserve">. </w:t>
      </w:r>
      <w:r>
        <w:t>These bodies are collectively referred to as ‘</w:t>
      </w:r>
      <w:r w:rsidRPr="00BC0B36">
        <w:t>professional, statutory an</w:t>
      </w:r>
      <w:r>
        <w:t>d regulatory bodies’ or PSRBs. In designing and approving the process of p</w:t>
      </w:r>
      <w:r w:rsidR="00BC0B36" w:rsidRPr="00BC0B36">
        <w:t xml:space="preserve">rofessional accreditation </w:t>
      </w:r>
      <w:r>
        <w:t xml:space="preserve">these PSRBs must </w:t>
      </w:r>
      <w:r w:rsidR="00BC0B36" w:rsidRPr="00BC0B36">
        <w:t>wor</w:t>
      </w:r>
      <w:r>
        <w:t>k</w:t>
      </w:r>
      <w:r w:rsidR="00BC0B36" w:rsidRPr="00BC0B36">
        <w:t xml:space="preserve"> </w:t>
      </w:r>
      <w:r w:rsidR="00BC0B36" w:rsidRPr="00BC0B36">
        <w:rPr>
          <w:i/>
        </w:rPr>
        <w:t>alongside</w:t>
      </w:r>
      <w:r w:rsidR="00BC0B36" w:rsidRPr="00BC0B36">
        <w:t xml:space="preserve"> the Quality Assurance Agency (QAA).  </w:t>
      </w:r>
      <w:r>
        <w:t>Effectively, t</w:t>
      </w:r>
      <w:r w:rsidR="00BC0B36" w:rsidRPr="00BC0B36">
        <w:t xml:space="preserve">he QAA recognises professional, statutory and regulatory bodies (PSRBs), and </w:t>
      </w:r>
      <w:r>
        <w:t xml:space="preserve">then </w:t>
      </w:r>
      <w:r w:rsidR="00BC0B36" w:rsidRPr="00BC0B36">
        <w:t>works in collaboration with them ‘to share information and experience, with a view to rationalising regulation’</w:t>
      </w:r>
      <w:r w:rsidR="00BC0B36" w:rsidRPr="00BC0B36">
        <w:rPr>
          <w:vertAlign w:val="superscript"/>
        </w:rPr>
        <w:footnoteReference w:id="5"/>
      </w:r>
      <w:r w:rsidR="00BC0B36" w:rsidRPr="00BC0B36">
        <w:t xml:space="preserve">.  The QAA runs the </w:t>
      </w:r>
      <w:r w:rsidR="00BC0B36" w:rsidRPr="00BC0B36">
        <w:rPr>
          <w:i/>
        </w:rPr>
        <w:t>PSRB forum</w:t>
      </w:r>
      <w:r w:rsidR="00BC0B36" w:rsidRPr="00BC0B36">
        <w:t xml:space="preserve"> to share good practice, and </w:t>
      </w:r>
      <w:r>
        <w:t xml:space="preserve">this </w:t>
      </w:r>
      <w:r w:rsidR="00BC0B36" w:rsidRPr="00BC0B36">
        <w:t>is aimed at those involved in the accreditation of higher education programmes and the maintenance of academic and professional standards</w:t>
      </w:r>
      <w:r w:rsidR="00BC0B36" w:rsidRPr="00BC0B36">
        <w:rPr>
          <w:vertAlign w:val="superscript"/>
        </w:rPr>
        <w:footnoteReference w:id="6"/>
      </w:r>
      <w:r w:rsidR="00BC0B36" w:rsidRPr="00BC0B36">
        <w:t xml:space="preserve">.  </w:t>
      </w:r>
    </w:p>
    <w:p w:rsidR="00BC0B36" w:rsidRPr="00BC0B36" w:rsidRDefault="00330C9A" w:rsidP="00BC0B36">
      <w:pPr>
        <w:jc w:val="both"/>
      </w:pPr>
      <w:r>
        <w:t xml:space="preserve">For further background you may wish to look at the </w:t>
      </w:r>
      <w:r w:rsidR="00BC0B36" w:rsidRPr="00BC0B36">
        <w:t>QAA ‘good practice’ document published in 2008</w:t>
      </w:r>
      <w:r w:rsidR="00BC0B36" w:rsidRPr="00BC0B36">
        <w:rPr>
          <w:vertAlign w:val="superscript"/>
        </w:rPr>
        <w:footnoteReference w:id="7"/>
      </w:r>
      <w:r w:rsidR="00BC0B36" w:rsidRPr="00BC0B36">
        <w:t xml:space="preserve">, and the Higher Education Better Regulation Group statement on the positive impact of the </w:t>
      </w:r>
      <w:r w:rsidR="00BC0B36" w:rsidRPr="00BC0B36">
        <w:lastRenderedPageBreak/>
        <w:t xml:space="preserve">involvement of professional bodies in higher </w:t>
      </w:r>
      <w:proofErr w:type="gramStart"/>
      <w:r w:rsidR="00BC0B36" w:rsidRPr="00BC0B36">
        <w:t>education</w:t>
      </w:r>
      <w:r>
        <w:t xml:space="preserve"> which</w:t>
      </w:r>
      <w:proofErr w:type="gramEnd"/>
      <w:r>
        <w:t xml:space="preserve"> emerged</w:t>
      </w:r>
      <w:r w:rsidR="00BC0B36" w:rsidRPr="00BC0B36">
        <w:t xml:space="preserve"> in 2011</w:t>
      </w:r>
      <w:r w:rsidR="00BC0B36" w:rsidRPr="00BC0B36">
        <w:rPr>
          <w:vertAlign w:val="superscript"/>
        </w:rPr>
        <w:footnoteReference w:id="8"/>
      </w:r>
      <w:r w:rsidR="00BC0B36" w:rsidRPr="00BC0B36">
        <w:t xml:space="preserve">.  For UK Higher Education Institutions (HEIs) accreditation information is recorded by the Higher Education Statistics Agency (HESA), and provided as part of the </w:t>
      </w:r>
      <w:proofErr w:type="spellStart"/>
      <w:r w:rsidR="00BC0B36" w:rsidRPr="00BC0B36">
        <w:t>Unistats</w:t>
      </w:r>
      <w:proofErr w:type="spellEnd"/>
      <w:r w:rsidR="00BC0B36" w:rsidRPr="00BC0B36">
        <w:t xml:space="preserve"> Key Information Sets (KIS) data.  PSRBs have to apply for inclusion within this data set, with a cut off of the 1</w:t>
      </w:r>
      <w:r w:rsidR="00BC0B36" w:rsidRPr="00BC0B36">
        <w:rPr>
          <w:vertAlign w:val="superscript"/>
        </w:rPr>
        <w:t>st</w:t>
      </w:r>
      <w:r w:rsidR="00BC0B36" w:rsidRPr="00BC0B36">
        <w:t xml:space="preserve"> of December each year</w:t>
      </w:r>
      <w:r w:rsidR="00BC0B36" w:rsidRPr="00BC0B36">
        <w:rPr>
          <w:vertAlign w:val="superscript"/>
        </w:rPr>
        <w:footnoteReference w:id="9"/>
      </w:r>
      <w:r w:rsidR="00BC0B36" w:rsidRPr="00BC0B36">
        <w:t>.  A link to the 2014/15 data</w:t>
      </w:r>
      <w:r w:rsidR="00BC0B36" w:rsidRPr="00BC0B36">
        <w:rPr>
          <w:vertAlign w:val="superscript"/>
        </w:rPr>
        <w:footnoteReference w:id="10"/>
      </w:r>
      <w:r w:rsidR="00BC0B36" w:rsidRPr="00BC0B36">
        <w:t xml:space="preserve"> is given on the </w:t>
      </w:r>
      <w:proofErr w:type="spellStart"/>
      <w:r w:rsidR="00BC0B36" w:rsidRPr="00BC0B36">
        <w:t>Unistats</w:t>
      </w:r>
      <w:proofErr w:type="spellEnd"/>
      <w:r w:rsidR="00BC0B36" w:rsidRPr="00BC0B36">
        <w:t xml:space="preserve"> website</w:t>
      </w:r>
      <w:r w:rsidR="00BC0B36" w:rsidRPr="00BC0B36">
        <w:rPr>
          <w:vertAlign w:val="superscript"/>
        </w:rPr>
        <w:footnoteReference w:id="11"/>
      </w:r>
      <w:r w:rsidR="00BC0B36" w:rsidRPr="00BC0B36">
        <w:t xml:space="preserve">.  </w:t>
      </w:r>
    </w:p>
    <w:p w:rsidR="00BC0B36" w:rsidRPr="00BC0B36" w:rsidRDefault="00BC0B36" w:rsidP="00BC0B36">
      <w:pPr>
        <w:jc w:val="both"/>
      </w:pPr>
      <w:r w:rsidRPr="00BC0B36">
        <w:t xml:space="preserve">Inclusion of PSRB accreditation in the KIS is subject to a range of assessment criteria.  The emphasis is </w:t>
      </w:r>
      <w:r w:rsidR="00330C9A">
        <w:t xml:space="preserve">always </w:t>
      </w:r>
      <w:r w:rsidRPr="00BC0B36">
        <w:t xml:space="preserve">on the </w:t>
      </w:r>
      <w:r w:rsidRPr="00FF15A5">
        <w:rPr>
          <w:u w:val="single"/>
        </w:rPr>
        <w:t>benefit to the student</w:t>
      </w:r>
      <w:r w:rsidRPr="00BC0B36">
        <w:t>, and accreditation must meet one of the following conditions</w:t>
      </w:r>
      <w:r w:rsidRPr="00BC0B36">
        <w:rPr>
          <w:vertAlign w:val="superscript"/>
        </w:rPr>
        <w:footnoteReference w:id="12"/>
      </w:r>
      <w:r w:rsidRPr="00BC0B36">
        <w:t>:</w:t>
      </w:r>
    </w:p>
    <w:p w:rsidR="00BC0B36" w:rsidRPr="00BC0B36" w:rsidRDefault="00BC0B36" w:rsidP="00BC0B36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BC0B36">
        <w:rPr>
          <w:i/>
        </w:rPr>
        <w:t xml:space="preserve">Graduates are able to practise as a professional in a specific field (for example, they receive a license to practise that is required by law), or completion of the accredited programme allows them to apply to practise. </w:t>
      </w:r>
    </w:p>
    <w:p w:rsidR="00BC0B36" w:rsidRPr="00BC0B36" w:rsidRDefault="00BC0B36" w:rsidP="00BC0B36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BC0B36">
        <w:rPr>
          <w:i/>
        </w:rPr>
        <w:t xml:space="preserve">Graduates are granted chartered status or the completion of the accredited course forms part of a recognised pathway to professional recognition. </w:t>
      </w:r>
    </w:p>
    <w:p w:rsidR="00BC0B36" w:rsidRPr="00BC0B36" w:rsidRDefault="00BC0B36" w:rsidP="00BC0B36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BC0B36">
        <w:rPr>
          <w:i/>
        </w:rPr>
        <w:t xml:space="preserve">Graduates are granted exemption from all or some professional exams. </w:t>
      </w:r>
    </w:p>
    <w:p w:rsidR="00BC0B36" w:rsidRPr="00BC0B36" w:rsidRDefault="00BC0B36" w:rsidP="00BC0B36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BC0B36">
        <w:rPr>
          <w:i/>
        </w:rPr>
        <w:t xml:space="preserve">Graduates are eligible for entry to membership of a professional association or learned society. </w:t>
      </w:r>
    </w:p>
    <w:p w:rsidR="00BC0B36" w:rsidRPr="00BC0B36" w:rsidRDefault="00BC0B36" w:rsidP="00BC0B36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BC0B36">
        <w:rPr>
          <w:i/>
        </w:rPr>
        <w:t xml:space="preserve">The programme has been assessed as meeting externally designated standards and quality thresholds that are recognised by the sector’s industry and employers. </w:t>
      </w:r>
    </w:p>
    <w:p w:rsidR="00BC0B36" w:rsidRPr="00BC0B36" w:rsidRDefault="00CA75CA" w:rsidP="00BC0B36">
      <w:pPr>
        <w:jc w:val="both"/>
      </w:pPr>
      <w:r>
        <w:t>Needless to say</w:t>
      </w:r>
      <w:r w:rsidR="00330C9A">
        <w:t>, t</w:t>
      </w:r>
      <w:r w:rsidR="00BC0B36" w:rsidRPr="00BC0B36">
        <w:t xml:space="preserve">here is a requirement </w:t>
      </w:r>
      <w:r w:rsidR="00330C9A">
        <w:t>to establish</w:t>
      </w:r>
      <w:r w:rsidR="00330C9A" w:rsidRPr="00BC0B36">
        <w:t xml:space="preserve"> </w:t>
      </w:r>
      <w:r w:rsidR="00BC0B36" w:rsidRPr="00BC0B36">
        <w:t xml:space="preserve">a clear process of review </w:t>
      </w:r>
      <w:r w:rsidR="00330C9A">
        <w:t>(</w:t>
      </w:r>
      <w:proofErr w:type="spellStart"/>
      <w:r w:rsidR="00330C9A">
        <w:t>ie</w:t>
      </w:r>
      <w:proofErr w:type="spellEnd"/>
      <w:r w:rsidR="00330C9A">
        <w:t xml:space="preserve">. </w:t>
      </w:r>
      <w:r w:rsidR="00330C9A" w:rsidRPr="00BC0B36">
        <w:t>formal decision-making process</w:t>
      </w:r>
      <w:r>
        <w:t>)</w:t>
      </w:r>
      <w:r w:rsidR="00330C9A">
        <w:t xml:space="preserve"> </w:t>
      </w:r>
      <w:r w:rsidR="00BC0B36" w:rsidRPr="00BC0B36">
        <w:t xml:space="preserve">that </w:t>
      </w:r>
      <w:r>
        <w:t xml:space="preserve">must </w:t>
      </w:r>
      <w:r w:rsidR="00BC0B36" w:rsidRPr="00BC0B36">
        <w:t>include an assessment conducted by experts in the field</w:t>
      </w:r>
      <w:r w:rsidR="00330C9A">
        <w:t xml:space="preserve">. </w:t>
      </w:r>
      <w:r>
        <w:t>These p</w:t>
      </w:r>
      <w:r w:rsidR="00BC0B36" w:rsidRPr="00BC0B36">
        <w:t>anels may include both academics and professionals</w:t>
      </w:r>
      <w:r>
        <w:t xml:space="preserve">. The </w:t>
      </w:r>
      <w:r w:rsidR="00BC0B36" w:rsidRPr="00BC0B36">
        <w:t xml:space="preserve">regular monitoring of accredited courses is </w:t>
      </w:r>
      <w:r>
        <w:t xml:space="preserve">also </w:t>
      </w:r>
      <w:r w:rsidR="00330C9A">
        <w:t>mandatory.</w:t>
      </w:r>
    </w:p>
    <w:p w:rsidR="00BC0B36" w:rsidRDefault="00BC0B36" w:rsidP="00BC0B36">
      <w:pPr>
        <w:rPr>
          <w:b/>
          <w:i/>
        </w:rPr>
      </w:pPr>
    </w:p>
    <w:p w:rsidR="00BC0B36" w:rsidRDefault="00BC0B36" w:rsidP="00BC0B36">
      <w:pPr>
        <w:rPr>
          <w:b/>
          <w:i/>
        </w:rPr>
      </w:pPr>
      <w:r>
        <w:rPr>
          <w:b/>
          <w:i/>
        </w:rPr>
        <w:t xml:space="preserve">What are National Occupational Standards </w:t>
      </w:r>
      <w:r w:rsidR="00DE3C45">
        <w:rPr>
          <w:b/>
          <w:i/>
        </w:rPr>
        <w:t xml:space="preserve">(NOS) </w:t>
      </w:r>
      <w:r>
        <w:rPr>
          <w:b/>
          <w:i/>
        </w:rPr>
        <w:t xml:space="preserve">and why are they </w:t>
      </w:r>
      <w:r w:rsidR="009D6714">
        <w:rPr>
          <w:b/>
          <w:i/>
        </w:rPr>
        <w:t>used in accreditation</w:t>
      </w:r>
      <w:r>
        <w:rPr>
          <w:b/>
          <w:i/>
        </w:rPr>
        <w:t>?</w:t>
      </w:r>
    </w:p>
    <w:p w:rsidR="00DE3C45" w:rsidRDefault="00BC0B36" w:rsidP="00BC0B36">
      <w:pPr>
        <w:jc w:val="both"/>
      </w:pPr>
      <w:proofErr w:type="spellStart"/>
      <w:r>
        <w:t>CIfA</w:t>
      </w:r>
      <w:proofErr w:type="spellEnd"/>
      <w:r>
        <w:t xml:space="preserve"> membership levels are assessed through </w:t>
      </w:r>
      <w:r w:rsidR="00330C9A">
        <w:t xml:space="preserve">what is known as </w:t>
      </w:r>
      <w:r>
        <w:t xml:space="preserve">a </w:t>
      </w:r>
      <w:r w:rsidR="00330C9A">
        <w:t>‘</w:t>
      </w:r>
      <w:r>
        <w:t>competency matrix</w:t>
      </w:r>
      <w:r w:rsidR="00330C9A">
        <w:t>’</w:t>
      </w:r>
      <w:r>
        <w:t xml:space="preserve">, which is aligned with the National Occupation Standards in Archaeological Practice (NOS).  These NOS were developed by the Archaeological Training Forum (of which </w:t>
      </w:r>
      <w:proofErr w:type="spellStart"/>
      <w:r>
        <w:t>CIfA</w:t>
      </w:r>
      <w:proofErr w:type="spellEnd"/>
      <w:r>
        <w:t xml:space="preserve"> is a member), and cover a wide range of areas.  Archaeologists in employment can already achieve a ‘fast track’ to </w:t>
      </w:r>
      <w:r w:rsidR="00DE3C45">
        <w:t xml:space="preserve">the Practitioner member grade of </w:t>
      </w:r>
      <w:proofErr w:type="spellStart"/>
      <w:r w:rsidR="00DE3C45">
        <w:t>CiFA</w:t>
      </w:r>
      <w:proofErr w:type="spellEnd"/>
      <w:r w:rsidR="00DE3C45">
        <w:t xml:space="preserve"> (or </w:t>
      </w:r>
      <w:proofErr w:type="spellStart"/>
      <w:r w:rsidR="00DE3C45">
        <w:t>PCiFA</w:t>
      </w:r>
      <w:proofErr w:type="spellEnd"/>
      <w:r w:rsidR="00DE3C45">
        <w:t>) by successfully attaining the Level 3 NVQ - Qualification in Archaeological Practice</w:t>
      </w:r>
      <w:r w:rsidR="00DE3C45">
        <w:rPr>
          <w:rStyle w:val="FootnoteReference"/>
        </w:rPr>
        <w:footnoteReference w:id="13"/>
      </w:r>
      <w:r w:rsidR="00DE3C45">
        <w:t xml:space="preserve"> that is made up of a range of NOS</w:t>
      </w:r>
      <w:r w:rsidR="00DE3C45">
        <w:rPr>
          <w:rStyle w:val="FootnoteReference"/>
        </w:rPr>
        <w:footnoteReference w:id="14"/>
      </w:r>
      <w:r w:rsidR="00DE3C45">
        <w:t xml:space="preserve">. For those not familiar with </w:t>
      </w:r>
      <w:proofErr w:type="spellStart"/>
      <w:r w:rsidR="00DE3C45">
        <w:t>CiFA</w:t>
      </w:r>
      <w:proofErr w:type="spellEnd"/>
      <w:r w:rsidR="00DE3C45">
        <w:t xml:space="preserve"> terminology, ‘Practitioner’ is one of their three </w:t>
      </w:r>
      <w:hyperlink r:id="rId10" w:history="1">
        <w:r w:rsidR="00ED24F5">
          <w:rPr>
            <w:rStyle w:val="Strong"/>
            <w:b w:val="0"/>
          </w:rPr>
          <w:t>p</w:t>
        </w:r>
        <w:r w:rsidR="00DE3C45" w:rsidRPr="00FF15A5">
          <w:rPr>
            <w:rStyle w:val="Strong"/>
            <w:b w:val="0"/>
          </w:rPr>
          <w:t>rofessionally accredited member grades</w:t>
        </w:r>
      </w:hyperlink>
      <w:r w:rsidR="00DE3C45" w:rsidRPr="00ED24F5">
        <w:t xml:space="preserve"> – the others being Associate (</w:t>
      </w:r>
      <w:proofErr w:type="spellStart"/>
      <w:r w:rsidR="00DE3C45" w:rsidRPr="00ED24F5">
        <w:t>ACIfA</w:t>
      </w:r>
      <w:proofErr w:type="spellEnd"/>
      <w:r w:rsidR="00DE3C45" w:rsidRPr="00ED24F5">
        <w:t>) and Member (</w:t>
      </w:r>
      <w:proofErr w:type="spellStart"/>
      <w:r w:rsidR="00DE3C45" w:rsidRPr="00ED24F5">
        <w:t>MCIfA</w:t>
      </w:r>
      <w:proofErr w:type="spellEnd"/>
      <w:r w:rsidR="00DE3C45" w:rsidRPr="00ED24F5">
        <w:t>). You can find out more</w:t>
      </w:r>
      <w:r w:rsidR="00DE3C45">
        <w:t xml:space="preserve"> information on the </w:t>
      </w:r>
      <w:proofErr w:type="spellStart"/>
      <w:r w:rsidR="00DE3C45">
        <w:t>CiFA</w:t>
      </w:r>
      <w:proofErr w:type="spellEnd"/>
      <w:r w:rsidR="00DE3C45">
        <w:t xml:space="preserve"> website.</w:t>
      </w:r>
    </w:p>
    <w:p w:rsidR="00BC0B36" w:rsidRDefault="00BC0B36" w:rsidP="00BC0B36">
      <w:pPr>
        <w:jc w:val="both"/>
      </w:pPr>
      <w:r>
        <w:lastRenderedPageBreak/>
        <w:t>NOS are designed to be flexible, and therefore a good way of encompass</w:t>
      </w:r>
      <w:r w:rsidR="00ED24F5">
        <w:t>ing</w:t>
      </w:r>
      <w:r>
        <w:t xml:space="preserve"> the </w:t>
      </w:r>
      <w:r w:rsidR="00ED24F5">
        <w:t xml:space="preserve">great </w:t>
      </w:r>
      <w:r>
        <w:t>variety of subjects covered in UK degrees</w:t>
      </w:r>
      <w:r w:rsidR="00DE3C45">
        <w:t xml:space="preserve">, whether those </w:t>
      </w:r>
      <w:proofErr w:type="gramStart"/>
      <w:r w:rsidR="00DE3C45">
        <w:t>be</w:t>
      </w:r>
      <w:proofErr w:type="gramEnd"/>
      <w:r w:rsidR="00DE3C45">
        <w:t xml:space="preserve"> </w:t>
      </w:r>
      <w:r>
        <w:t>practical, period</w:t>
      </w:r>
      <w:r w:rsidR="00DE3C45">
        <w:t>/place</w:t>
      </w:r>
      <w:r>
        <w:t xml:space="preserve">, </w:t>
      </w:r>
      <w:r w:rsidRPr="00EB30B3">
        <w:t>thematic</w:t>
      </w:r>
      <w:r>
        <w:t xml:space="preserve">, </w:t>
      </w:r>
      <w:r w:rsidR="00DE3C45">
        <w:t xml:space="preserve">or </w:t>
      </w:r>
      <w:r>
        <w:t>science</w:t>
      </w:r>
      <w:r w:rsidRPr="00EB30B3">
        <w:t xml:space="preserve"> based </w:t>
      </w:r>
      <w:r>
        <w:t xml:space="preserve">units/modules.  </w:t>
      </w:r>
      <w:r w:rsidR="00AB18BF">
        <w:t xml:space="preserve">In all, there are 238 NOS that underpin </w:t>
      </w:r>
      <w:proofErr w:type="spellStart"/>
      <w:r w:rsidR="00AB18BF">
        <w:t>PCIfA</w:t>
      </w:r>
      <w:proofErr w:type="spellEnd"/>
      <w:r w:rsidR="00AB18BF">
        <w:t xml:space="preserve"> accreditation.  These NOS </w:t>
      </w:r>
      <w:r w:rsidR="00ED24F5">
        <w:t>have been</w:t>
      </w:r>
      <w:r w:rsidR="00AB18BF">
        <w:t xml:space="preserve"> grouped into units, as outlined in the Archaeology Functional Map in Appendix 2</w:t>
      </w:r>
      <w:r w:rsidR="00AB18BF">
        <w:rPr>
          <w:rStyle w:val="FootnoteReference"/>
        </w:rPr>
        <w:footnoteReference w:id="15"/>
      </w:r>
      <w:r w:rsidR="00AB18BF">
        <w:t>.  To examine the potential for NOS to be used in accreditation criteria for university pathways, a mapping exercise has been undertaken to relate many of the relevant NOS to the QAA benchmark statement for archaeology</w:t>
      </w:r>
      <w:r w:rsidR="00AB18BF">
        <w:rPr>
          <w:rStyle w:val="FootnoteReference"/>
        </w:rPr>
        <w:footnoteReference w:id="16"/>
      </w:r>
      <w:r w:rsidR="00AB18BF" w:rsidRPr="00627B28">
        <w:t>.</w:t>
      </w:r>
      <w:r w:rsidR="00AB18BF">
        <w:t xml:space="preserve">  What is required to gain accreditation is to be able to demonstrate that the core relevant NOS are covered by a degree/pathway.  As university departments will discover for themselves, many of the key NOS are already successfully covered by the QAA benchmark, although in some cases the emphasis may be slightly different.</w:t>
      </w:r>
      <w:r>
        <w:t xml:space="preserve"> </w:t>
      </w:r>
    </w:p>
    <w:p w:rsidR="00BC0B36" w:rsidRDefault="00BC0B36" w:rsidP="00BC0B36">
      <w:pPr>
        <w:rPr>
          <w:b/>
          <w:i/>
        </w:rPr>
      </w:pPr>
    </w:p>
    <w:p w:rsidR="00BC0B36" w:rsidRDefault="00BC0B36" w:rsidP="00BC0B36">
      <w:pPr>
        <w:rPr>
          <w:b/>
          <w:i/>
        </w:rPr>
      </w:pPr>
      <w:r>
        <w:rPr>
          <w:b/>
          <w:i/>
        </w:rPr>
        <w:t>Who governs the accreditation process?</w:t>
      </w:r>
    </w:p>
    <w:p w:rsidR="00BC0B36" w:rsidRDefault="009D6714" w:rsidP="009D6714">
      <w:pPr>
        <w:tabs>
          <w:tab w:val="left" w:pos="7485"/>
        </w:tabs>
        <w:jc w:val="both"/>
      </w:pPr>
      <w:r>
        <w:t>The ethos of joint UAUK/</w:t>
      </w:r>
      <w:proofErr w:type="spellStart"/>
      <w:r>
        <w:t>CIfA</w:t>
      </w:r>
      <w:proofErr w:type="spellEnd"/>
      <w:r>
        <w:t xml:space="preserve"> governance necessitates a process that represents both organisations equally and</w:t>
      </w:r>
      <w:r w:rsidR="00ED24F5">
        <w:t xml:space="preserve"> be</w:t>
      </w:r>
      <w:r>
        <w:t xml:space="preserve">fits their operating procedures. </w:t>
      </w:r>
      <w:proofErr w:type="spellStart"/>
      <w:r>
        <w:t>CIfA</w:t>
      </w:r>
      <w:proofErr w:type="spellEnd"/>
      <w:r>
        <w:t xml:space="preserve"> </w:t>
      </w:r>
      <w:r w:rsidR="00ED24F5">
        <w:t xml:space="preserve">has </w:t>
      </w:r>
      <w:r>
        <w:t xml:space="preserve">recommended that accreditation applications and awards should be noted at a </w:t>
      </w:r>
      <w:r w:rsidRPr="00A87425">
        <w:rPr>
          <w:i/>
        </w:rPr>
        <w:t xml:space="preserve">UAUK </w:t>
      </w:r>
      <w:r>
        <w:t xml:space="preserve">meeting on a yearly basis, and that </w:t>
      </w:r>
      <w:proofErr w:type="spellStart"/>
      <w:r>
        <w:t>CIfA</w:t>
      </w:r>
      <w:proofErr w:type="spellEnd"/>
      <w:r>
        <w:t xml:space="preserve"> would send a representative to attend for this agenda item.  The main contact </w:t>
      </w:r>
      <w:r w:rsidR="00EC7A52">
        <w:t xml:space="preserve">for </w:t>
      </w:r>
      <w:r>
        <w:t xml:space="preserve">accreditation </w:t>
      </w:r>
      <w:r w:rsidR="00EC7A52">
        <w:t xml:space="preserve">is </w:t>
      </w:r>
      <w:r>
        <w:t xml:space="preserve">the person in post as </w:t>
      </w:r>
      <w:r w:rsidRPr="00A87425">
        <w:t>Standards Development Manager</w:t>
      </w:r>
      <w:r w:rsidR="00EC7A52">
        <w:t xml:space="preserve"> at </w:t>
      </w:r>
      <w:proofErr w:type="spellStart"/>
      <w:r w:rsidR="00EC7A52">
        <w:t>CIfA</w:t>
      </w:r>
      <w:proofErr w:type="spellEnd"/>
      <w:r>
        <w:t>.</w:t>
      </w:r>
    </w:p>
    <w:p w:rsidR="009D6714" w:rsidRPr="009D6714" w:rsidRDefault="009D6714" w:rsidP="009D6714">
      <w:pPr>
        <w:tabs>
          <w:tab w:val="left" w:pos="7485"/>
        </w:tabs>
        <w:jc w:val="both"/>
      </w:pPr>
    </w:p>
    <w:p w:rsidR="00BC0B36" w:rsidRPr="00BC0B36" w:rsidRDefault="00BC0B36" w:rsidP="00BC0B36">
      <w:pPr>
        <w:rPr>
          <w:b/>
          <w:i/>
        </w:rPr>
      </w:pPr>
      <w:r w:rsidRPr="00BC0B36">
        <w:rPr>
          <w:b/>
          <w:i/>
        </w:rPr>
        <w:t>Do accreditation costs include VAT?</w:t>
      </w:r>
    </w:p>
    <w:p w:rsidR="00BC0B36" w:rsidRPr="00BC0B36" w:rsidRDefault="00BC0B36" w:rsidP="00BC0B36">
      <w:r w:rsidRPr="00BC0B36">
        <w:t xml:space="preserve">No – </w:t>
      </w:r>
      <w:proofErr w:type="spellStart"/>
      <w:r w:rsidRPr="00BC0B36">
        <w:t>CifA</w:t>
      </w:r>
      <w:proofErr w:type="spellEnd"/>
      <w:r w:rsidRPr="00BC0B36">
        <w:t xml:space="preserve"> </w:t>
      </w:r>
      <w:r w:rsidR="009D6714">
        <w:t>is not a VA</w:t>
      </w:r>
      <w:r w:rsidRPr="00BC0B36">
        <w:t>T registered organisation.</w:t>
      </w:r>
    </w:p>
    <w:p w:rsidR="009D6714" w:rsidRDefault="009D6714">
      <w:pPr>
        <w:rPr>
          <w:b/>
          <w:i/>
        </w:rPr>
      </w:pPr>
    </w:p>
    <w:p w:rsidR="00BC0B36" w:rsidRDefault="009D6714">
      <w:pPr>
        <w:rPr>
          <w:b/>
          <w:i/>
        </w:rPr>
      </w:pPr>
      <w:r w:rsidRPr="009D6714">
        <w:rPr>
          <w:b/>
          <w:i/>
        </w:rPr>
        <w:t>My institution is not a member of UAUK can our degrees still be accredited?</w:t>
      </w:r>
    </w:p>
    <w:p w:rsidR="009D6714" w:rsidRDefault="009D6714">
      <w:proofErr w:type="spellStart"/>
      <w:r w:rsidRPr="009D6714">
        <w:t>CIfA</w:t>
      </w:r>
      <w:proofErr w:type="spellEnd"/>
      <w:r w:rsidRPr="009D6714">
        <w:t xml:space="preserve">/UAUK accreditation is </w:t>
      </w:r>
      <w:r w:rsidRPr="00FF15A5">
        <w:rPr>
          <w:u w:val="single"/>
        </w:rPr>
        <w:t>only</w:t>
      </w:r>
      <w:r w:rsidRPr="009D6714">
        <w:t xml:space="preserve"> open to UAUK members</w:t>
      </w:r>
      <w:r>
        <w:t>.  Please contact Mike Heyworth to find out more about how to apply to join UAUK.</w:t>
      </w:r>
    </w:p>
    <w:p w:rsidR="009D6714" w:rsidRDefault="009D6714">
      <w:pPr>
        <w:rPr>
          <w:b/>
          <w:i/>
        </w:rPr>
      </w:pPr>
    </w:p>
    <w:p w:rsidR="009D6714" w:rsidRPr="009D6714" w:rsidRDefault="009D6714">
      <w:pPr>
        <w:rPr>
          <w:b/>
          <w:i/>
        </w:rPr>
      </w:pPr>
      <w:r w:rsidRPr="009D6714">
        <w:rPr>
          <w:b/>
          <w:i/>
        </w:rPr>
        <w:t xml:space="preserve">My degrees have been refused accreditation can I appeal against this decision? </w:t>
      </w:r>
    </w:p>
    <w:p w:rsidR="009D6714" w:rsidRDefault="009D6714">
      <w:r>
        <w:t xml:space="preserve">Full details on the governance and appeals process is set out on the </w:t>
      </w:r>
      <w:proofErr w:type="spellStart"/>
      <w:r>
        <w:t>CIfA</w:t>
      </w:r>
      <w:proofErr w:type="spellEnd"/>
      <w:r>
        <w:t xml:space="preserve"> and UAUK websites.  </w:t>
      </w:r>
    </w:p>
    <w:p w:rsidR="009D6714" w:rsidRPr="009D6714" w:rsidRDefault="009D6714"/>
    <w:sectPr w:rsidR="009D6714" w:rsidRPr="009D6714" w:rsidSect="000A0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A5" w:rsidRDefault="00FF15A5" w:rsidP="00BC0B36">
      <w:pPr>
        <w:spacing w:after="0" w:line="240" w:lineRule="auto"/>
      </w:pPr>
      <w:r>
        <w:separator/>
      </w:r>
    </w:p>
  </w:endnote>
  <w:endnote w:type="continuationSeparator" w:id="0">
    <w:p w:rsidR="00FF15A5" w:rsidRDefault="00FF15A5" w:rsidP="00BC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A5" w:rsidRDefault="00FF15A5" w:rsidP="00BC0B36">
      <w:pPr>
        <w:spacing w:after="0" w:line="240" w:lineRule="auto"/>
      </w:pPr>
      <w:r>
        <w:separator/>
      </w:r>
    </w:p>
  </w:footnote>
  <w:footnote w:type="continuationSeparator" w:id="0">
    <w:p w:rsidR="00FF15A5" w:rsidRDefault="00FF15A5" w:rsidP="00BC0B36">
      <w:pPr>
        <w:spacing w:after="0" w:line="240" w:lineRule="auto"/>
      </w:pPr>
      <w:r>
        <w:continuationSeparator/>
      </w:r>
    </w:p>
  </w:footnote>
  <w:footnote w:id="1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hAnsiTheme="minorHAnsi" w:cs="Times"/>
          <w:color w:val="21201C"/>
          <w:sz w:val="16"/>
          <w:szCs w:val="16"/>
          <w:lang w:val="en-US"/>
        </w:rPr>
        <w:t xml:space="preserve">IHBC - </w:t>
      </w:r>
      <w:hyperlink r:id="rId1" w:history="1">
        <w:r w:rsidRPr="00EE3D4E">
          <w:rPr>
            <w:rFonts w:asciiTheme="minorHAnsi" w:hAnsiTheme="minorHAnsi" w:cs="Times"/>
            <w:color w:val="21201C"/>
            <w:sz w:val="16"/>
            <w:szCs w:val="16"/>
            <w:lang w:val="en-US"/>
          </w:rPr>
          <w:t>http://www.ihbc.org.uk/learning/page35/index.html</w:t>
        </w:r>
      </w:hyperlink>
    </w:p>
  </w:footnote>
  <w:footnote w:id="2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CSFS - </w:t>
      </w:r>
      <w:hyperlink r:id="rId2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http://www.forensic-science-society.org.uk/Accreditation/AccreditedUniversityCourses</w:t>
        </w:r>
      </w:hyperlink>
    </w:p>
  </w:footnote>
  <w:footnote w:id="3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RIBA -http://www.architecture.com/RIBA/Becomeanarchitect/Qualifications/Qualifications.aspx</w:t>
      </w:r>
    </w:p>
  </w:footnote>
  <w:footnote w:id="4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RSC - http://www.rsc.org/Education/courses-and-careers/accredited-courses/</w:t>
      </w:r>
    </w:p>
  </w:footnote>
  <w:footnote w:id="5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hyperlink r:id="rId3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http://www.qaa.ac.uk/partners/professional-bodies</w:t>
        </w:r>
      </w:hyperlink>
    </w:p>
  </w:footnote>
  <w:footnote w:id="6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An example of the range of topics (such as TEF, changes to HESA data collection) that are addressed by this forum can be seen </w:t>
      </w:r>
      <w:r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at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: </w:t>
      </w:r>
      <w:hyperlink r:id="rId4" w:anchor=".Vsx411IT9Hg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http://www.qaa.ac.uk/newsroom/events/psrb-forum-higher-education-policy-update-and-current-thinking#.Vsx411IT9Hg</w:t>
        </w:r>
      </w:hyperlink>
    </w:p>
  </w:footnote>
  <w:footnote w:id="7">
    <w:p w:rsidR="00FF15A5" w:rsidRPr="00EE3D4E" w:rsidRDefault="00FF15A5" w:rsidP="00BC0B36">
      <w:pPr>
        <w:pStyle w:val="FootnoteText"/>
        <w:rPr>
          <w:rFonts w:eastAsiaTheme="minorHAnsi" w:cs="Times"/>
          <w:color w:val="21201C"/>
          <w:sz w:val="16"/>
          <w:szCs w:val="16"/>
          <w:lang w:val="en-US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http://www.qaa.ac.uk/en/Publications/Documents/Outcomes-from-institutional-audit-Second-series-Institutions-work-with-employers-and-professional--statutory-and-regulator.pdf</w:t>
      </w:r>
    </w:p>
  </w:footnote>
  <w:footnote w:id="8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http://www.universitiesuk.ac.uk/highereducation/Documents/2011/HEBRG_ProfessionalBodies.pdf</w:t>
      </w:r>
    </w:p>
  </w:footnote>
  <w:footnote w:id="9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HESA guidance on professional, statutory and regulatory bodies (PSRBs) and accreditation in the Key Information Set, Professional, Statutory and Regulatory Bodies (PSRBs) and professional accreditation of undergraduate </w:t>
      </w:r>
      <w:proofErr w:type="spellStart"/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programmes</w:t>
      </w:r>
      <w:proofErr w:type="spellEnd"/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. </w:t>
      </w:r>
      <w:hyperlink r:id="rId5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https://www.hesa.ac.uk/index.php?option=com_studrec&amp;task=show_file&amp;mnl=15061&amp;href=accreditation_guidance.html</w:t>
        </w:r>
      </w:hyperlink>
    </w:p>
  </w:footnote>
  <w:footnote w:id="10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The full list of current accreditations returned by UK HEIs to the 2015/16 KIS: </w:t>
      </w:r>
      <w:hyperlink r:id="rId6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https://www.hesa.ac.uk/index.php?option=com_studrec&amp;task=show_file&amp;mnl=15061&amp;href=accreditation_list.html</w:t>
        </w:r>
      </w:hyperlink>
    </w:p>
  </w:footnote>
  <w:footnote w:id="11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 xml:space="preserve">Source, see section ‘Course accreditation’ - </w:t>
      </w:r>
      <w:hyperlink r:id="rId7" w:history="1">
        <w:r w:rsidRPr="00EE3D4E">
          <w:rPr>
            <w:rFonts w:asciiTheme="minorHAnsi" w:eastAsiaTheme="minorHAnsi" w:hAnsiTheme="minorHAnsi" w:cs="Times"/>
            <w:color w:val="21201C"/>
            <w:sz w:val="16"/>
            <w:szCs w:val="16"/>
            <w:lang w:val="en-US"/>
          </w:rPr>
          <w:t>https://unistats.direct.gov.uk/find-out-more/about-the-data/</w:t>
        </w:r>
      </w:hyperlink>
    </w:p>
  </w:footnote>
  <w:footnote w:id="12">
    <w:p w:rsidR="00FF15A5" w:rsidRPr="00EE3D4E" w:rsidRDefault="00FF15A5" w:rsidP="00BC0B36">
      <w:pPr>
        <w:pStyle w:val="FootnoteText"/>
        <w:rPr>
          <w:rStyle w:val="FootnoteReference"/>
          <w:rFonts w:asciiTheme="minorHAnsi" w:hAnsiTheme="minorHAnsi"/>
          <w:sz w:val="18"/>
          <w:szCs w:val="18"/>
        </w:rPr>
      </w:pPr>
      <w:r w:rsidRPr="00EE3D4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EE3D4E">
        <w:rPr>
          <w:rStyle w:val="FootnoteReference"/>
          <w:rFonts w:asciiTheme="minorHAnsi" w:hAnsiTheme="minorHAnsi"/>
          <w:sz w:val="18"/>
          <w:szCs w:val="18"/>
        </w:rPr>
        <w:t xml:space="preserve"> </w:t>
      </w:r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Application and criteria for inclusion of new accreditation in the KIS - https://www.hesa.ac.uk/includes/C15061_resources/download/Guidance_for_inclusion.pdf</w:t>
      </w:r>
      <w:proofErr w:type="gramStart"/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?v</w:t>
      </w:r>
      <w:proofErr w:type="gramEnd"/>
      <w:r w:rsidRPr="00EE3D4E">
        <w:rPr>
          <w:rFonts w:asciiTheme="minorHAnsi" w:eastAsiaTheme="minorHAnsi" w:hAnsiTheme="minorHAnsi" w:cs="Times"/>
          <w:color w:val="21201C"/>
          <w:sz w:val="16"/>
          <w:szCs w:val="16"/>
          <w:lang w:val="en-US"/>
        </w:rPr>
        <w:t>=1.0</w:t>
      </w:r>
    </w:p>
  </w:footnote>
  <w:footnote w:id="13">
    <w:p w:rsidR="00FF15A5" w:rsidRPr="00627B28" w:rsidRDefault="00FF15A5" w:rsidP="00DE3C45">
      <w:pPr>
        <w:pStyle w:val="FootnoteText"/>
        <w:rPr>
          <w:rFonts w:asciiTheme="minorHAnsi" w:hAnsiTheme="minorHAnsi"/>
          <w:sz w:val="16"/>
          <w:szCs w:val="16"/>
          <w:lang w:val="en-US"/>
        </w:rPr>
      </w:pPr>
      <w:r w:rsidRPr="00627B2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27B28">
        <w:rPr>
          <w:rFonts w:asciiTheme="minorHAnsi" w:hAnsiTheme="minorHAnsi"/>
          <w:sz w:val="16"/>
          <w:szCs w:val="16"/>
        </w:rPr>
        <w:t xml:space="preserve"> </w:t>
      </w:r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http://www.archaeologists.net/sites/default/files/1114_CIfA_Applicant's_Guide_accredited_FinalV2.pdf</w:t>
      </w:r>
    </w:p>
  </w:footnote>
  <w:footnote w:id="14">
    <w:p w:rsidR="00FF15A5" w:rsidRPr="00627B28" w:rsidRDefault="00FF15A5" w:rsidP="00DE3C45">
      <w:pPr>
        <w:pStyle w:val="FootnoteText"/>
        <w:rPr>
          <w:rFonts w:asciiTheme="minorHAnsi" w:hAnsiTheme="minorHAnsi" w:cs="Times"/>
          <w:color w:val="21201C"/>
          <w:sz w:val="16"/>
          <w:szCs w:val="16"/>
          <w:lang w:val="en-US"/>
        </w:rPr>
      </w:pPr>
      <w:r w:rsidRPr="00627B2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27B28">
        <w:rPr>
          <w:rFonts w:asciiTheme="minorHAnsi" w:hAnsiTheme="minorHAnsi"/>
          <w:sz w:val="16"/>
          <w:szCs w:val="16"/>
        </w:rPr>
        <w:t xml:space="preserve"> </w:t>
      </w:r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http://nos.ukces.org.uk/Pages/index.aspx</w:t>
      </w:r>
    </w:p>
  </w:footnote>
  <w:footnote w:id="15">
    <w:p w:rsidR="00FF15A5" w:rsidRPr="00627B28" w:rsidRDefault="00FF15A5" w:rsidP="00AB18BF">
      <w:pPr>
        <w:pStyle w:val="FootnoteText"/>
        <w:rPr>
          <w:rFonts w:asciiTheme="minorHAnsi" w:hAnsiTheme="minorHAnsi"/>
          <w:sz w:val="16"/>
          <w:szCs w:val="16"/>
          <w:lang w:val="en-US"/>
        </w:rPr>
      </w:pPr>
      <w:r w:rsidRPr="00627B2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27B28">
        <w:rPr>
          <w:rFonts w:asciiTheme="minorHAnsi" w:hAnsiTheme="minorHAnsi"/>
          <w:sz w:val="16"/>
          <w:szCs w:val="16"/>
        </w:rPr>
        <w:t xml:space="preserve"> </w:t>
      </w:r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As such these also form the NVQ level 3 in Archaeological Practice</w:t>
      </w:r>
    </w:p>
  </w:footnote>
  <w:footnote w:id="16">
    <w:p w:rsidR="00FF15A5" w:rsidRPr="00627B28" w:rsidRDefault="00FF15A5" w:rsidP="00AB18BF">
      <w:pPr>
        <w:pStyle w:val="FootnoteText"/>
        <w:rPr>
          <w:rFonts w:asciiTheme="minorHAnsi" w:hAnsiTheme="minorHAnsi"/>
          <w:sz w:val="16"/>
          <w:szCs w:val="16"/>
          <w:lang w:val="en-US"/>
        </w:rPr>
      </w:pPr>
      <w:r w:rsidRPr="00627B28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27B28">
        <w:rPr>
          <w:rFonts w:asciiTheme="minorHAnsi" w:hAnsiTheme="minorHAnsi"/>
          <w:sz w:val="16"/>
          <w:szCs w:val="16"/>
        </w:rPr>
        <w:t xml:space="preserve"> </w:t>
      </w:r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http://www.qaa.ac.uk/publications/information-and-guidance/publication</w:t>
      </w:r>
      <w:proofErr w:type="gramStart"/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?PubID</w:t>
      </w:r>
      <w:proofErr w:type="gramEnd"/>
      <w:r w:rsidRPr="00627B28">
        <w:rPr>
          <w:rFonts w:asciiTheme="minorHAnsi" w:hAnsiTheme="minorHAnsi" w:cs="Times"/>
          <w:color w:val="21201C"/>
          <w:sz w:val="16"/>
          <w:szCs w:val="16"/>
          <w:lang w:val="en-US"/>
        </w:rPr>
        <w:t>=2876#.Vsyj8FIT9Hg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DA7"/>
    <w:multiLevelType w:val="hybridMultilevel"/>
    <w:tmpl w:val="8462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E7FBF"/>
    <w:multiLevelType w:val="hybridMultilevel"/>
    <w:tmpl w:val="4030D6A8"/>
    <w:lvl w:ilvl="0" w:tplc="A0D830D8">
      <w:start w:val="1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72E34"/>
    <w:multiLevelType w:val="hybridMultilevel"/>
    <w:tmpl w:val="9E827B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36"/>
    <w:rsid w:val="000A029D"/>
    <w:rsid w:val="002106A1"/>
    <w:rsid w:val="00320B23"/>
    <w:rsid w:val="00330C9A"/>
    <w:rsid w:val="00390747"/>
    <w:rsid w:val="00473AE4"/>
    <w:rsid w:val="004B4603"/>
    <w:rsid w:val="005B7E57"/>
    <w:rsid w:val="00850164"/>
    <w:rsid w:val="009D6714"/>
    <w:rsid w:val="00AB18BF"/>
    <w:rsid w:val="00BC0B36"/>
    <w:rsid w:val="00CA75CA"/>
    <w:rsid w:val="00DE3C45"/>
    <w:rsid w:val="00E225E0"/>
    <w:rsid w:val="00E46097"/>
    <w:rsid w:val="00EB1914"/>
    <w:rsid w:val="00EC7A52"/>
    <w:rsid w:val="00ED24F5"/>
    <w:rsid w:val="00FD5891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BC0B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0B36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BC0B36"/>
    <w:rPr>
      <w:vertAlign w:val="superscript"/>
    </w:rPr>
  </w:style>
  <w:style w:type="character" w:styleId="Strong">
    <w:name w:val="Strong"/>
    <w:basedOn w:val="DefaultParagraphFont"/>
    <w:uiPriority w:val="22"/>
    <w:qFormat/>
    <w:rsid w:val="00DE3C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7E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or26">
    <w:name w:val="color_26"/>
    <w:basedOn w:val="DefaultParagraphFont"/>
    <w:rsid w:val="00FD58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8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BC0B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0B36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BC0B36"/>
    <w:rPr>
      <w:vertAlign w:val="superscript"/>
    </w:rPr>
  </w:style>
  <w:style w:type="character" w:styleId="Strong">
    <w:name w:val="Strong"/>
    <w:basedOn w:val="DefaultParagraphFont"/>
    <w:uiPriority w:val="22"/>
    <w:qFormat/>
    <w:rsid w:val="00DE3C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B7E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or26">
    <w:name w:val="color_26"/>
    <w:basedOn w:val="DefaultParagraphFont"/>
    <w:rsid w:val="00FD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archaeologists.net/accreditedgrad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aa.ac.uk/partners/professional-bodies" TargetMode="External"/><Relationship Id="rId4" Type="http://schemas.openxmlformats.org/officeDocument/2006/relationships/hyperlink" Target="http://www.qaa.ac.uk/newsroom/events/psrb-forum-higher-education-policy-update-and-current-thinking" TargetMode="External"/><Relationship Id="rId5" Type="http://schemas.openxmlformats.org/officeDocument/2006/relationships/hyperlink" Target="https://www.hesa.ac.uk/index.php?option=com_studrec&amp;task=show_file&amp;mnl=15061&amp;href=accreditation_guidance.html" TargetMode="External"/><Relationship Id="rId6" Type="http://schemas.openxmlformats.org/officeDocument/2006/relationships/hyperlink" Target="https://www.hesa.ac.uk/index.php?option=com_studrec&amp;task=show_file&amp;mnl=15061&amp;href=accreditation_list.html" TargetMode="External"/><Relationship Id="rId7" Type="http://schemas.openxmlformats.org/officeDocument/2006/relationships/hyperlink" Target="https://unistats.direct.gov.uk/find-out-more/about-the-data/" TargetMode="External"/><Relationship Id="rId1" Type="http://schemas.openxmlformats.org/officeDocument/2006/relationships/hyperlink" Target="http://www.ihbc.org.uk/learning/page35/index.html" TargetMode="External"/><Relationship Id="rId2" Type="http://schemas.openxmlformats.org/officeDocument/2006/relationships/hyperlink" Target="http://www.forensic-science-society.org.uk/Accreditation/AccreditedUniversity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5511</Characters>
  <Application>Microsoft Macintosh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Kate,Welham</dc:creator>
  <cp:lastModifiedBy>K</cp:lastModifiedBy>
  <cp:revision>2</cp:revision>
  <dcterms:created xsi:type="dcterms:W3CDTF">2018-01-26T16:55:00Z</dcterms:created>
  <dcterms:modified xsi:type="dcterms:W3CDTF">2018-01-26T16:55:00Z</dcterms:modified>
</cp:coreProperties>
</file>